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EB" w:rsidRDefault="00C42DEB" w:rsidP="003C69E7">
      <w:pPr>
        <w:rPr>
          <w:sz w:val="20"/>
          <w:szCs w:val="20"/>
        </w:rPr>
      </w:pPr>
    </w:p>
    <w:p w:rsidR="00C42DEB" w:rsidRDefault="00C42DEB" w:rsidP="00D4753B">
      <w:pPr>
        <w:autoSpaceDE w:val="0"/>
        <w:autoSpaceDN w:val="0"/>
        <w:adjustRightInd w:val="0"/>
        <w:jc w:val="left"/>
        <w:rPr>
          <w:rFonts w:ascii="Frutiger-Bold" w:hAnsi="Frutiger-Bold" w:cs="Frutiger-Bold"/>
          <w:b/>
          <w:bCs/>
          <w:sz w:val="60"/>
          <w:szCs w:val="60"/>
        </w:rPr>
      </w:pPr>
      <w:r>
        <w:rPr>
          <w:rFonts w:ascii="Frutiger-Bold" w:hAnsi="Frutiger-Bold" w:cs="Frutiger-Bold"/>
          <w:b/>
          <w:bCs/>
          <w:sz w:val="60"/>
          <w:szCs w:val="60"/>
        </w:rPr>
        <w:t xml:space="preserve">Documento de consenso sobre </w:t>
      </w:r>
      <w:smartTag w:uri="urn:schemas-microsoft-com:office:smarttags" w:element="PersonName">
        <w:smartTagPr>
          <w:attr w:name="ProductID" w:val="LA ENFERMEDAD RENAL"/>
        </w:smartTagPr>
        <w:r>
          <w:rPr>
            <w:rFonts w:ascii="Frutiger-Bold" w:hAnsi="Frutiger-Bold" w:cs="Frutiger-Bold"/>
            <w:b/>
            <w:bCs/>
            <w:sz w:val="60"/>
            <w:szCs w:val="60"/>
          </w:rPr>
          <w:t>la Enfermedad Renal</w:t>
        </w:r>
      </w:smartTag>
      <w:r>
        <w:rPr>
          <w:rFonts w:ascii="Frutiger-Bold" w:hAnsi="Frutiger-Bold" w:cs="Frutiger-Bold"/>
          <w:b/>
          <w:bCs/>
          <w:sz w:val="60"/>
          <w:szCs w:val="60"/>
        </w:rPr>
        <w:t xml:space="preserve"> C</w:t>
      </w:r>
      <w:r w:rsidRPr="00D4753B">
        <w:rPr>
          <w:rFonts w:ascii="Frutiger-Bold" w:hAnsi="Frutiger-Bold" w:cs="Frutiger-Bold"/>
          <w:b/>
          <w:bCs/>
          <w:sz w:val="60"/>
          <w:szCs w:val="60"/>
        </w:rPr>
        <w:t>rónica</w:t>
      </w:r>
    </w:p>
    <w:p w:rsidR="00C42DEB" w:rsidRPr="00D4753B" w:rsidRDefault="00C42DEB" w:rsidP="00D4753B">
      <w:pPr>
        <w:rPr>
          <w:sz w:val="20"/>
          <w:szCs w:val="20"/>
        </w:rPr>
      </w:pPr>
    </w:p>
    <w:p w:rsidR="00C42DEB" w:rsidRPr="00D4753B" w:rsidRDefault="00C42DEB" w:rsidP="00D4753B">
      <w:pPr>
        <w:rPr>
          <w:sz w:val="20"/>
          <w:szCs w:val="20"/>
        </w:rPr>
      </w:pPr>
    </w:p>
    <w:p w:rsidR="00C42DEB" w:rsidRDefault="00C42DEB" w:rsidP="00D4753B">
      <w:pPr>
        <w:rPr>
          <w:sz w:val="20"/>
          <w:szCs w:val="20"/>
        </w:rPr>
      </w:pPr>
    </w:p>
    <w:p w:rsidR="00C42DEB" w:rsidRDefault="00C42DEB" w:rsidP="00D4753B">
      <w:pPr>
        <w:rPr>
          <w:sz w:val="20"/>
          <w:szCs w:val="20"/>
        </w:rPr>
      </w:pPr>
    </w:p>
    <w:p w:rsidR="00C42DEB" w:rsidRDefault="00C42DEB" w:rsidP="00D4753B">
      <w:pPr>
        <w:rPr>
          <w:sz w:val="20"/>
          <w:szCs w:val="20"/>
        </w:rPr>
      </w:pPr>
    </w:p>
    <w:p w:rsidR="00C42DEB" w:rsidRPr="00D4753B" w:rsidRDefault="00C42DEB" w:rsidP="00D4753B">
      <w:pPr>
        <w:rPr>
          <w:b/>
        </w:rPr>
      </w:pPr>
      <w:r>
        <w:rPr>
          <w:b/>
        </w:rPr>
        <w:t>27 Noviembre 2012</w:t>
      </w:r>
    </w:p>
    <w:p w:rsidR="00C42DEB" w:rsidRPr="00D4753B" w:rsidRDefault="00C42DEB" w:rsidP="00D4753B">
      <w:pPr>
        <w:rPr>
          <w:sz w:val="20"/>
          <w:szCs w:val="20"/>
        </w:rPr>
      </w:pPr>
    </w:p>
    <w:p w:rsidR="00C42DEB" w:rsidRDefault="00C42DEB" w:rsidP="003C69E7">
      <w:pPr>
        <w:rPr>
          <w:sz w:val="20"/>
          <w:szCs w:val="20"/>
        </w:rPr>
      </w:pPr>
    </w:p>
    <w:p w:rsidR="00C42DEB" w:rsidRDefault="009D115B" w:rsidP="003C69E7">
      <w:pPr>
        <w:rPr>
          <w:sz w:val="20"/>
          <w:szCs w:val="20"/>
        </w:rPr>
        <w:sectPr w:rsidR="00C42DEB" w:rsidSect="00DA188C">
          <w:headerReference w:type="default" r:id="rId8"/>
          <w:footerReference w:type="default" r:id="rId9"/>
          <w:endnotePr>
            <w:numFmt w:val="decimal"/>
          </w:endnotePr>
          <w:pgSz w:w="11906" w:h="16838" w:code="9"/>
          <w:pgMar w:top="1390" w:right="1416" w:bottom="1418" w:left="1418" w:header="284" w:footer="720" w:gutter="0"/>
          <w:cols w:space="708"/>
          <w:titlePg/>
          <w:docGrid w:linePitch="326"/>
        </w:sectPr>
      </w:pPr>
      <w:r>
        <w:rPr>
          <w:noProof/>
        </w:rPr>
        <w:drawing>
          <wp:anchor distT="0" distB="0" distL="114300" distR="114300" simplePos="0" relativeHeight="251659264" behindDoc="0" locked="0" layoutInCell="1" allowOverlap="1">
            <wp:simplePos x="0" y="0"/>
            <wp:positionH relativeFrom="column">
              <wp:posOffset>97155</wp:posOffset>
            </wp:positionH>
            <wp:positionV relativeFrom="paragraph">
              <wp:posOffset>2458720</wp:posOffset>
            </wp:positionV>
            <wp:extent cx="3200400" cy="660400"/>
            <wp:effectExtent l="19050" t="0" r="0" b="0"/>
            <wp:wrapTight wrapText="bothSides">
              <wp:wrapPolygon edited="0">
                <wp:start x="-129" y="0"/>
                <wp:lineTo x="-129" y="21185"/>
                <wp:lineTo x="21600" y="21185"/>
                <wp:lineTo x="21600" y="0"/>
                <wp:lineTo x="-129" y="0"/>
              </wp:wrapPolygon>
            </wp:wrapTight>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srcRect/>
                    <a:stretch>
                      <a:fillRect/>
                    </a:stretch>
                  </pic:blipFill>
                  <pic:spPr bwMode="auto">
                    <a:xfrm>
                      <a:off x="0" y="0"/>
                      <a:ext cx="3200400" cy="660400"/>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5229225</wp:posOffset>
            </wp:positionH>
            <wp:positionV relativeFrom="paragraph">
              <wp:posOffset>4606925</wp:posOffset>
            </wp:positionV>
            <wp:extent cx="589915" cy="222885"/>
            <wp:effectExtent l="19050" t="0" r="635" b="0"/>
            <wp:wrapNone/>
            <wp:docPr id="82" name="Imagen 4" descr="ESTEVE mas 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TEVE mas cerca"/>
                    <pic:cNvPicPr>
                      <a:picLocks noChangeAspect="1" noChangeArrowheads="1"/>
                    </pic:cNvPicPr>
                  </pic:nvPicPr>
                  <pic:blipFill>
                    <a:blip r:embed="rId11"/>
                    <a:srcRect/>
                    <a:stretch>
                      <a:fillRect/>
                    </a:stretch>
                  </pic:blipFill>
                  <pic:spPr bwMode="auto">
                    <a:xfrm>
                      <a:off x="0" y="0"/>
                      <a:ext cx="589915" cy="22288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4322445</wp:posOffset>
            </wp:positionH>
            <wp:positionV relativeFrom="paragraph">
              <wp:posOffset>4559935</wp:posOffset>
            </wp:positionV>
            <wp:extent cx="766445" cy="282575"/>
            <wp:effectExtent l="19050" t="0" r="0" b="0"/>
            <wp:wrapNone/>
            <wp:docPr id="83" name="Imagen 3" descr="http://www.google.es/images?q=tbn:ANd9GcTYOwiwVReyXQMWjCJbhgRwMcfuipHKtV2qCZaLPP5tIJ4Wn53v4TZM3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google.es/images?q=tbn:ANd9GcTYOwiwVReyXQMWjCJbhgRwMcfuipHKtV2qCZaLPP5tIJ4Wn53v4TZM3ao"/>
                    <pic:cNvPicPr>
                      <a:picLocks noChangeAspect="1" noChangeArrowheads="1"/>
                    </pic:cNvPicPr>
                  </pic:nvPicPr>
                  <pic:blipFill>
                    <a:blip r:embed="rId12"/>
                    <a:srcRect b="10709"/>
                    <a:stretch>
                      <a:fillRect/>
                    </a:stretch>
                  </pic:blipFill>
                  <pic:spPr bwMode="auto">
                    <a:xfrm>
                      <a:off x="0" y="0"/>
                      <a:ext cx="766445" cy="2825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4303395</wp:posOffset>
            </wp:positionH>
            <wp:positionV relativeFrom="paragraph">
              <wp:posOffset>4123690</wp:posOffset>
            </wp:positionV>
            <wp:extent cx="981710" cy="356235"/>
            <wp:effectExtent l="0" t="0" r="0" b="0"/>
            <wp:wrapNone/>
            <wp:docPr id="8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981710" cy="356235"/>
                    </a:xfrm>
                    <a:prstGeom prst="rect">
                      <a:avLst/>
                    </a:prstGeom>
                    <a:noFill/>
                  </pic:spPr>
                </pic:pic>
              </a:graphicData>
            </a:graphic>
          </wp:anchor>
        </w:drawing>
      </w:r>
      <w:r>
        <w:rPr>
          <w:noProof/>
        </w:rPr>
        <w:drawing>
          <wp:anchor distT="0" distB="24532" distL="114300" distR="122274" simplePos="0" relativeHeight="251657216" behindDoc="0" locked="0" layoutInCell="1" allowOverlap="1">
            <wp:simplePos x="0" y="0"/>
            <wp:positionH relativeFrom="column">
              <wp:posOffset>-11684</wp:posOffset>
            </wp:positionH>
            <wp:positionV relativeFrom="paragraph">
              <wp:posOffset>1266190</wp:posOffset>
            </wp:positionV>
            <wp:extent cx="5757282" cy="1483367"/>
            <wp:effectExtent l="6096" t="0" r="0" b="0"/>
            <wp:wrapNone/>
            <wp:docPr id="84"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4958" cy="2064482"/>
                      <a:chOff x="323528" y="1916832"/>
                      <a:chExt cx="7994958" cy="2064482"/>
                    </a:xfrm>
                  </a:grpSpPr>
                  <a:pic>
                    <a:nvPicPr>
                      <a:cNvPr id="2050" name="Picture 2"/>
                      <a:cNvPicPr>
                        <a:picLocks noChangeAspect="1" noChangeArrowheads="1"/>
                      </a:cNvPicPr>
                    </a:nvPicPr>
                    <a:blipFill>
                      <a:blip r:embed="rId14"/>
                      <a:srcRect/>
                      <a:stretch>
                        <a:fillRect/>
                      </a:stretch>
                    </a:blipFill>
                    <a:spPr bwMode="auto">
                      <a:xfrm>
                        <a:off x="6948264" y="2624819"/>
                        <a:ext cx="1367680" cy="1356495"/>
                      </a:xfrm>
                      <a:prstGeom prst="rect">
                        <a:avLst/>
                      </a:prstGeom>
                      <a:noFill/>
                      <a:ln w="9525">
                        <a:solidFill>
                          <a:schemeClr val="tx1"/>
                        </a:solidFill>
                        <a:miter lim="800000"/>
                        <a:headEnd/>
                        <a:tailEnd/>
                      </a:ln>
                    </a:spPr>
                  </a:pic>
                  <a:pic>
                    <a:nvPicPr>
                      <a:cNvPr id="2051" name="Picture 3"/>
                      <a:cNvPicPr>
                        <a:picLocks noChangeAspect="1" noChangeArrowheads="1"/>
                      </a:cNvPicPr>
                    </a:nvPicPr>
                    <a:blipFill>
                      <a:blip r:embed="rId15"/>
                      <a:srcRect/>
                      <a:stretch>
                        <a:fillRect/>
                      </a:stretch>
                    </a:blipFill>
                    <a:spPr bwMode="auto">
                      <a:xfrm>
                        <a:off x="3218362" y="2624143"/>
                        <a:ext cx="1691712" cy="792000"/>
                      </a:xfrm>
                      <a:prstGeom prst="rect">
                        <a:avLst/>
                      </a:prstGeom>
                      <a:noFill/>
                      <a:ln w="9525">
                        <a:solidFill>
                          <a:schemeClr val="tx1"/>
                        </a:solidFill>
                        <a:miter lim="800000"/>
                        <a:headEnd/>
                        <a:tailEnd/>
                      </a:ln>
                    </a:spPr>
                  </a:pic>
                  <a:pic>
                    <a:nvPicPr>
                      <a:cNvPr id="2052" name="Picture 4"/>
                      <a:cNvPicPr>
                        <a:picLocks noChangeAspect="1" noChangeArrowheads="1"/>
                      </a:cNvPicPr>
                    </a:nvPicPr>
                    <a:blipFill>
                      <a:blip r:embed="rId16"/>
                      <a:srcRect r="5305" b="9888"/>
                      <a:stretch>
                        <a:fillRect/>
                      </a:stretch>
                    </a:blipFill>
                    <a:spPr bwMode="auto">
                      <a:xfrm>
                        <a:off x="5084316" y="2624143"/>
                        <a:ext cx="1689706" cy="792000"/>
                      </a:xfrm>
                      <a:prstGeom prst="rect">
                        <a:avLst/>
                      </a:prstGeom>
                      <a:noFill/>
                      <a:ln w="9525">
                        <a:solidFill>
                          <a:schemeClr val="tx1"/>
                        </a:solidFill>
                        <a:miter lim="800000"/>
                        <a:headEnd/>
                        <a:tailEnd/>
                      </a:ln>
                    </a:spPr>
                  </a:pic>
                  <a:pic>
                    <a:nvPicPr>
                      <a:cNvPr id="2053" name="Picture 13" descr="Captura de pantalla 2011-04-13 a las 21.50.04.png"/>
                      <a:cNvPicPr>
                        <a:picLocks noChangeAspect="1"/>
                      </a:cNvPicPr>
                    </a:nvPicPr>
                    <a:blipFill>
                      <a:blip r:embed="rId17"/>
                      <a:srcRect/>
                      <a:stretch>
                        <a:fillRect/>
                      </a:stretch>
                    </a:blipFill>
                    <a:spPr bwMode="auto">
                      <a:xfrm>
                        <a:off x="335403" y="1916832"/>
                        <a:ext cx="2221499" cy="576000"/>
                      </a:xfrm>
                      <a:prstGeom prst="rect">
                        <a:avLst/>
                      </a:prstGeom>
                      <a:noFill/>
                      <a:ln w="9525">
                        <a:solidFill>
                          <a:schemeClr val="tx1"/>
                        </a:solidFill>
                        <a:miter lim="800000"/>
                        <a:headEnd/>
                        <a:tailEnd/>
                      </a:ln>
                    </a:spPr>
                  </a:pic>
                  <a:pic>
                    <a:nvPicPr>
                      <a:cNvPr id="2054" name="Picture 14" descr="Captura de pantalla 2011-04-13 a las 21.51.19.png"/>
                      <a:cNvPicPr>
                        <a:picLocks noChangeAspect="1"/>
                      </a:cNvPicPr>
                    </a:nvPicPr>
                    <a:blipFill>
                      <a:blip r:embed="rId18"/>
                      <a:srcRect/>
                      <a:stretch>
                        <a:fillRect/>
                      </a:stretch>
                    </a:blipFill>
                    <a:spPr bwMode="auto">
                      <a:xfrm>
                        <a:off x="4445999" y="1916832"/>
                        <a:ext cx="1602354" cy="576000"/>
                      </a:xfrm>
                      <a:prstGeom prst="rect">
                        <a:avLst/>
                      </a:prstGeom>
                      <a:noFill/>
                      <a:ln w="9525">
                        <a:solidFill>
                          <a:schemeClr val="tx1"/>
                        </a:solidFill>
                        <a:miter lim="800000"/>
                        <a:headEnd/>
                        <a:tailEnd/>
                      </a:ln>
                    </a:spPr>
                  </a:pic>
                  <a:pic>
                    <a:nvPicPr>
                      <a:cNvPr id="2055" name="Picture 15" descr="Captura de pantalla 2011-04-13 a las 21.52.42.png"/>
                      <a:cNvPicPr>
                        <a:picLocks noChangeAspect="1"/>
                      </a:cNvPicPr>
                    </a:nvPicPr>
                    <a:blipFill>
                      <a:blip r:embed="rId19"/>
                      <a:srcRect/>
                      <a:stretch>
                        <a:fillRect/>
                      </a:stretch>
                    </a:blipFill>
                    <a:spPr bwMode="auto">
                      <a:xfrm>
                        <a:off x="2664726" y="1916832"/>
                        <a:ext cx="1673449" cy="576000"/>
                      </a:xfrm>
                      <a:prstGeom prst="rect">
                        <a:avLst/>
                      </a:prstGeom>
                      <a:noFill/>
                      <a:ln w="9525">
                        <a:solidFill>
                          <a:srgbClr val="003366"/>
                        </a:solidFill>
                        <a:miter lim="800000"/>
                        <a:headEnd/>
                        <a:tailEnd/>
                      </a:ln>
                    </a:spPr>
                  </a:pic>
                  <a:pic>
                    <a:nvPicPr>
                      <a:cNvPr id="2056" name="Picture 16" descr="Captura de pantalla 2011-04-13 a las 21.53.51.png"/>
                      <a:cNvPicPr>
                        <a:picLocks noChangeAspect="1"/>
                      </a:cNvPicPr>
                    </a:nvPicPr>
                    <a:blipFill>
                      <a:blip r:embed="rId20"/>
                      <a:srcRect/>
                      <a:stretch>
                        <a:fillRect/>
                      </a:stretch>
                    </a:blipFill>
                    <a:spPr bwMode="auto">
                      <a:xfrm>
                        <a:off x="6156176" y="1916832"/>
                        <a:ext cx="2162310" cy="576000"/>
                      </a:xfrm>
                      <a:prstGeom prst="rect">
                        <a:avLst/>
                      </a:prstGeom>
                      <a:noFill/>
                      <a:ln w="9525">
                        <a:solidFill>
                          <a:schemeClr val="tx1"/>
                        </a:solidFill>
                        <a:miter lim="800000"/>
                        <a:headEnd/>
                        <a:tailEnd/>
                      </a:ln>
                    </a:spPr>
                  </a:pic>
                  <a:grpSp>
                    <a:nvGrpSpPr>
                      <a:cNvPr id="2057" name="Group 18"/>
                      <a:cNvGrpSpPr>
                        <a:grpSpLocks/>
                      </a:cNvGrpSpPr>
                    </a:nvGrpSpPr>
                    <a:grpSpPr bwMode="auto">
                      <a:xfrm>
                        <a:off x="1820158" y="2624143"/>
                        <a:ext cx="1223962" cy="792000"/>
                        <a:chOff x="521" y="2296"/>
                        <a:chExt cx="771" cy="514"/>
                      </a:xfrm>
                    </a:grpSpPr>
                    <a:pic>
                      <a:nvPicPr>
                        <a:cNvPr id="2061" name="Picture 16" descr="cabecerap"/>
                        <a:cNvPicPr>
                          <a:picLocks noChangeAspect="1" noChangeArrowheads="1"/>
                        </a:cNvPicPr>
                      </a:nvPicPr>
                      <a:blipFill>
                        <a:blip r:embed="rId21"/>
                        <a:srcRect l="5812" r="82564" b="64412"/>
                        <a:stretch>
                          <a:fillRect/>
                        </a:stretch>
                      </a:blipFill>
                      <a:spPr bwMode="auto">
                        <a:xfrm>
                          <a:off x="521" y="2296"/>
                          <a:ext cx="771" cy="514"/>
                        </a:xfrm>
                        <a:prstGeom prst="rect">
                          <a:avLst/>
                        </a:prstGeom>
                        <a:noFill/>
                        <a:ln w="9525">
                          <a:noFill/>
                          <a:miter lim="800000"/>
                          <a:headEnd/>
                          <a:tailEnd/>
                        </a:ln>
                      </a:spPr>
                    </a:pic>
                    <a:sp>
                      <a:nvSpPr>
                        <a:cNvPr id="2062" name="Rectangle 17"/>
                        <a:cNvSpPr>
                          <a:spLocks noChangeArrowheads="1"/>
                        </a:cNvSpPr>
                      </a:nvSpPr>
                      <a:spPr bwMode="auto">
                        <a:xfrm>
                          <a:off x="521" y="2296"/>
                          <a:ext cx="771" cy="499"/>
                        </a:xfrm>
                        <a:prstGeom prst="rect">
                          <a:avLst/>
                        </a:prstGeom>
                        <a:no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s-ES_tradnl"/>
                          </a:p>
                        </a:txBody>
                        <a:useSpRect/>
                      </a:txSp>
                    </a:sp>
                  </a:grpSp>
                  <a:grpSp>
                    <a:nvGrpSpPr>
                      <a:cNvPr id="2058" name="Group 1"/>
                      <a:cNvGrpSpPr>
                        <a:grpSpLocks/>
                      </a:cNvGrpSpPr>
                    </a:nvGrpSpPr>
                    <a:grpSpPr bwMode="auto">
                      <a:xfrm>
                        <a:off x="323528" y="2624143"/>
                        <a:ext cx="1322388" cy="792000"/>
                        <a:chOff x="-1836712" y="5157192"/>
                        <a:chExt cx="1150937" cy="647700"/>
                      </a:xfrm>
                    </a:grpSpPr>
                    <a:sp>
                      <a:nvSpPr>
                        <a:cNvPr id="2059" name="Rectangle 20"/>
                        <a:cNvSpPr>
                          <a:spLocks noChangeArrowheads="1"/>
                        </a:cNvSpPr>
                      </a:nvSpPr>
                      <a:spPr bwMode="auto">
                        <a:xfrm>
                          <a:off x="-1836712" y="5157192"/>
                          <a:ext cx="1150937" cy="647700"/>
                        </a:xfrm>
                        <a:prstGeom prst="rect">
                          <a:avLst/>
                        </a:prstGeom>
                        <a:solidFill>
                          <a:srgbClr val="FFFFFF"/>
                        </a:solidFill>
                        <a:ln w="9525">
                          <a:solidFill>
                            <a:schemeClr val="tx1"/>
                          </a:solidFill>
                          <a:miter lim="800000"/>
                          <a:headEnd/>
                          <a:tailEnd/>
                        </a:ln>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s-ES_tradnl"/>
                          </a:p>
                        </a:txBody>
                        <a:useSpRect/>
                      </a:txSp>
                    </a:sp>
                    <a:pic>
                      <a:nvPicPr>
                        <a:cNvPr id="2060" name="Picture 19"/>
                        <a:cNvPicPr>
                          <a:picLocks noChangeAspect="1" noChangeArrowheads="1"/>
                        </a:cNvPicPr>
                      </a:nvPicPr>
                      <a:blipFill>
                        <a:blip r:embed="rId22"/>
                        <a:srcRect/>
                        <a:stretch>
                          <a:fillRect/>
                        </a:stretch>
                      </a:blipFill>
                      <a:spPr bwMode="auto">
                        <a:xfrm>
                          <a:off x="-1548680" y="5229200"/>
                          <a:ext cx="647700" cy="523875"/>
                        </a:xfrm>
                        <a:prstGeom prst="rect">
                          <a:avLst/>
                        </a:prstGeom>
                        <a:noFill/>
                        <a:ln w="9525">
                          <a:noFill/>
                          <a:miter lim="800000"/>
                          <a:headEnd/>
                          <a:tailEnd/>
                        </a:ln>
                      </a:spPr>
                    </a:pic>
                  </a:grpSp>
                </lc:lockedCanvas>
              </a:graphicData>
            </a:graphic>
          </wp:anchor>
        </w:drawing>
      </w:r>
    </w:p>
    <w:p w:rsidR="00C42DEB" w:rsidRDefault="00C42DEB" w:rsidP="003C69E7">
      <w:pPr>
        <w:rPr>
          <w:sz w:val="20"/>
          <w:szCs w:val="20"/>
        </w:rPr>
      </w:pPr>
    </w:p>
    <w:p w:rsidR="00C42DEB" w:rsidRDefault="00C42DEB" w:rsidP="0046272A">
      <w:pPr>
        <w:jc w:val="center"/>
        <w:rPr>
          <w:b/>
        </w:rPr>
      </w:pPr>
      <w:r w:rsidRPr="0046272A">
        <w:rPr>
          <w:b/>
        </w:rPr>
        <w:t>ÍNDICE DE CONTENIDOS</w:t>
      </w:r>
    </w:p>
    <w:p w:rsidR="00C42DEB" w:rsidRPr="0046272A" w:rsidRDefault="00C42DEB" w:rsidP="0046272A">
      <w:pPr>
        <w:rPr>
          <w:sz w:val="20"/>
          <w:szCs w:val="20"/>
        </w:rPr>
      </w:pPr>
    </w:p>
    <w:p w:rsidR="00C42DEB" w:rsidRDefault="00C42DEB" w:rsidP="003C69E7">
      <w:pPr>
        <w:rPr>
          <w:sz w:val="20"/>
          <w:szCs w:val="20"/>
        </w:rPr>
      </w:pPr>
    </w:p>
    <w:p w:rsidR="00C42DEB" w:rsidRPr="00AC488C" w:rsidRDefault="00C42DEB" w:rsidP="00AC488C">
      <w:pPr>
        <w:pStyle w:val="TDC2"/>
        <w:rPr>
          <w:rStyle w:val="Hipervnculo"/>
          <w:color w:val="auto"/>
          <w:u w:val="none"/>
        </w:rPr>
      </w:pPr>
      <w:r w:rsidRPr="00AC488C">
        <w:rPr>
          <w:rStyle w:val="Hipervnculo"/>
          <w:color w:val="auto"/>
          <w:u w:val="none"/>
        </w:rPr>
        <w:tab/>
        <w:t>Introducción.</w:t>
      </w:r>
      <w:r w:rsidRPr="00AC488C">
        <w:rPr>
          <w:rStyle w:val="Hipervnculo"/>
          <w:webHidden/>
          <w:color w:val="auto"/>
          <w:u w:val="none"/>
        </w:rPr>
        <w:tab/>
        <w:t>3</w:t>
      </w:r>
    </w:p>
    <w:p w:rsidR="00C42DEB" w:rsidRDefault="00C42DEB" w:rsidP="003C69E7">
      <w:pPr>
        <w:rPr>
          <w:sz w:val="20"/>
          <w:szCs w:val="20"/>
        </w:rPr>
      </w:pPr>
    </w:p>
    <w:p w:rsidR="00C42DEB" w:rsidRDefault="00936BE3">
      <w:pPr>
        <w:pStyle w:val="TDC2"/>
        <w:rPr>
          <w:rFonts w:ascii="Calibri" w:hAnsi="Calibri"/>
          <w:noProof/>
          <w:sz w:val="22"/>
          <w:szCs w:val="22"/>
        </w:rPr>
      </w:pPr>
      <w:r w:rsidRPr="00936BE3">
        <w:rPr>
          <w:szCs w:val="20"/>
        </w:rPr>
        <w:fldChar w:fldCharType="begin"/>
      </w:r>
      <w:r w:rsidR="00C42DEB">
        <w:rPr>
          <w:szCs w:val="20"/>
        </w:rPr>
        <w:instrText xml:space="preserve"> TOC \o "1-2" \h \z \u </w:instrText>
      </w:r>
      <w:r w:rsidRPr="00936BE3">
        <w:rPr>
          <w:szCs w:val="20"/>
        </w:rPr>
        <w:fldChar w:fldCharType="separate"/>
      </w:r>
      <w:hyperlink w:anchor="_Toc341725517" w:history="1">
        <w:r w:rsidR="00C42DEB" w:rsidRPr="004B3FDF">
          <w:rPr>
            <w:rStyle w:val="Hipervnculo"/>
            <w:noProof/>
          </w:rPr>
          <w:t>1</w:t>
        </w:r>
        <w:r w:rsidR="00C42DEB">
          <w:rPr>
            <w:rFonts w:ascii="Calibri" w:hAnsi="Calibri"/>
            <w:noProof/>
            <w:sz w:val="22"/>
            <w:szCs w:val="22"/>
          </w:rPr>
          <w:tab/>
        </w:r>
        <w:r w:rsidR="00C42DEB" w:rsidRPr="004B3FDF">
          <w:rPr>
            <w:rStyle w:val="Hipervnculo"/>
            <w:rFonts w:cs="Arial"/>
            <w:noProof/>
          </w:rPr>
          <w:t>Definición y epidemiología.</w:t>
        </w:r>
        <w:r w:rsidR="00C42DEB">
          <w:rPr>
            <w:noProof/>
            <w:webHidden/>
          </w:rPr>
          <w:tab/>
        </w:r>
        <w:r>
          <w:rPr>
            <w:noProof/>
            <w:webHidden/>
          </w:rPr>
          <w:fldChar w:fldCharType="begin"/>
        </w:r>
        <w:r w:rsidR="00C42DEB">
          <w:rPr>
            <w:noProof/>
            <w:webHidden/>
          </w:rPr>
          <w:instrText xml:space="preserve"> PAGEREF _Toc341725517 \h </w:instrText>
        </w:r>
        <w:r>
          <w:rPr>
            <w:noProof/>
            <w:webHidden/>
          </w:rPr>
        </w:r>
        <w:r>
          <w:rPr>
            <w:noProof/>
            <w:webHidden/>
          </w:rPr>
          <w:fldChar w:fldCharType="separate"/>
        </w:r>
        <w:r w:rsidR="00852CBE">
          <w:rPr>
            <w:noProof/>
            <w:webHidden/>
          </w:rPr>
          <w:t>4</w:t>
        </w:r>
        <w:r>
          <w:rPr>
            <w:noProof/>
            <w:webHidden/>
          </w:rPr>
          <w:fldChar w:fldCharType="end"/>
        </w:r>
      </w:hyperlink>
    </w:p>
    <w:p w:rsidR="00C42DEB" w:rsidRDefault="00936BE3">
      <w:pPr>
        <w:pStyle w:val="TDC2"/>
        <w:rPr>
          <w:rFonts w:ascii="Calibri" w:hAnsi="Calibri"/>
          <w:noProof/>
          <w:sz w:val="22"/>
          <w:szCs w:val="22"/>
        </w:rPr>
      </w:pPr>
      <w:hyperlink w:anchor="_Toc341725518" w:history="1">
        <w:r w:rsidR="00C42DEB" w:rsidRPr="004B3FDF">
          <w:rPr>
            <w:rStyle w:val="Hipervnculo"/>
            <w:noProof/>
          </w:rPr>
          <w:t>2</w:t>
        </w:r>
        <w:r w:rsidR="00C42DEB">
          <w:rPr>
            <w:rFonts w:ascii="Calibri" w:hAnsi="Calibri"/>
            <w:noProof/>
            <w:sz w:val="22"/>
            <w:szCs w:val="22"/>
          </w:rPr>
          <w:tab/>
        </w:r>
        <w:r w:rsidR="00C42DEB" w:rsidRPr="004B3FDF">
          <w:rPr>
            <w:rStyle w:val="Hipervnculo"/>
            <w:rFonts w:cs="Arial"/>
            <w:noProof/>
          </w:rPr>
          <w:t>Factores de riesgo</w:t>
        </w:r>
        <w:r w:rsidR="00C42DEB">
          <w:rPr>
            <w:noProof/>
            <w:webHidden/>
          </w:rPr>
          <w:tab/>
        </w:r>
        <w:r>
          <w:rPr>
            <w:noProof/>
            <w:webHidden/>
          </w:rPr>
          <w:fldChar w:fldCharType="begin"/>
        </w:r>
        <w:r w:rsidR="00C42DEB">
          <w:rPr>
            <w:noProof/>
            <w:webHidden/>
          </w:rPr>
          <w:instrText xml:space="preserve"> PAGEREF _Toc341725518 \h </w:instrText>
        </w:r>
        <w:r>
          <w:rPr>
            <w:noProof/>
            <w:webHidden/>
          </w:rPr>
        </w:r>
        <w:r>
          <w:rPr>
            <w:noProof/>
            <w:webHidden/>
          </w:rPr>
          <w:fldChar w:fldCharType="separate"/>
        </w:r>
        <w:r w:rsidR="00852CBE">
          <w:rPr>
            <w:noProof/>
            <w:webHidden/>
          </w:rPr>
          <w:t>5</w:t>
        </w:r>
        <w:r>
          <w:rPr>
            <w:noProof/>
            <w:webHidden/>
          </w:rPr>
          <w:fldChar w:fldCharType="end"/>
        </w:r>
      </w:hyperlink>
    </w:p>
    <w:p w:rsidR="00C42DEB" w:rsidRDefault="00936BE3">
      <w:pPr>
        <w:pStyle w:val="TDC2"/>
        <w:rPr>
          <w:rFonts w:ascii="Calibri" w:hAnsi="Calibri"/>
          <w:noProof/>
          <w:sz w:val="22"/>
          <w:szCs w:val="22"/>
        </w:rPr>
      </w:pPr>
      <w:hyperlink w:anchor="_Toc341725519" w:history="1">
        <w:r w:rsidR="00C42DEB" w:rsidRPr="004B3FDF">
          <w:rPr>
            <w:rStyle w:val="Hipervnculo"/>
            <w:noProof/>
          </w:rPr>
          <w:t>3</w:t>
        </w:r>
        <w:r w:rsidR="00C42DEB">
          <w:rPr>
            <w:rFonts w:ascii="Calibri" w:hAnsi="Calibri"/>
            <w:noProof/>
            <w:sz w:val="22"/>
            <w:szCs w:val="22"/>
          </w:rPr>
          <w:tab/>
        </w:r>
        <w:r w:rsidR="00C42DEB" w:rsidRPr="004B3FDF">
          <w:rPr>
            <w:rStyle w:val="Hipervnculo"/>
            <w:rFonts w:cs="Arial"/>
            <w:noProof/>
          </w:rPr>
          <w:t>Cribado de la ERC</w:t>
        </w:r>
        <w:r w:rsidR="00C42DEB">
          <w:rPr>
            <w:noProof/>
            <w:webHidden/>
          </w:rPr>
          <w:tab/>
        </w:r>
        <w:r>
          <w:rPr>
            <w:noProof/>
            <w:webHidden/>
          </w:rPr>
          <w:fldChar w:fldCharType="begin"/>
        </w:r>
        <w:r w:rsidR="00C42DEB">
          <w:rPr>
            <w:noProof/>
            <w:webHidden/>
          </w:rPr>
          <w:instrText xml:space="preserve"> PAGEREF _Toc341725519 \h </w:instrText>
        </w:r>
        <w:r>
          <w:rPr>
            <w:noProof/>
            <w:webHidden/>
          </w:rPr>
        </w:r>
        <w:r>
          <w:rPr>
            <w:noProof/>
            <w:webHidden/>
          </w:rPr>
          <w:fldChar w:fldCharType="separate"/>
        </w:r>
        <w:r w:rsidR="00852CBE">
          <w:rPr>
            <w:noProof/>
            <w:webHidden/>
          </w:rPr>
          <w:t>7</w:t>
        </w:r>
        <w:r>
          <w:rPr>
            <w:noProof/>
            <w:webHidden/>
          </w:rPr>
          <w:fldChar w:fldCharType="end"/>
        </w:r>
      </w:hyperlink>
    </w:p>
    <w:p w:rsidR="00C42DEB" w:rsidRDefault="00936BE3">
      <w:pPr>
        <w:pStyle w:val="TDC2"/>
        <w:rPr>
          <w:rFonts w:ascii="Calibri" w:hAnsi="Calibri"/>
          <w:noProof/>
          <w:sz w:val="22"/>
          <w:szCs w:val="22"/>
        </w:rPr>
      </w:pPr>
      <w:hyperlink w:anchor="_Toc341725520" w:history="1">
        <w:r w:rsidR="00C42DEB" w:rsidRPr="004B3FDF">
          <w:rPr>
            <w:rStyle w:val="Hipervnculo"/>
            <w:noProof/>
          </w:rPr>
          <w:t>4</w:t>
        </w:r>
        <w:r w:rsidR="00C42DEB">
          <w:rPr>
            <w:rFonts w:ascii="Calibri" w:hAnsi="Calibri"/>
            <w:noProof/>
            <w:sz w:val="22"/>
            <w:szCs w:val="22"/>
          </w:rPr>
          <w:tab/>
        </w:r>
        <w:r w:rsidR="00C42DEB" w:rsidRPr="004B3FDF">
          <w:rPr>
            <w:rStyle w:val="Hipervnculo"/>
            <w:rFonts w:cs="Arial"/>
            <w:noProof/>
          </w:rPr>
          <w:t>Diagnóstico de ERC</w:t>
        </w:r>
        <w:r w:rsidR="00C42DEB">
          <w:rPr>
            <w:noProof/>
            <w:webHidden/>
          </w:rPr>
          <w:tab/>
        </w:r>
        <w:r>
          <w:rPr>
            <w:noProof/>
            <w:webHidden/>
          </w:rPr>
          <w:fldChar w:fldCharType="begin"/>
        </w:r>
        <w:r w:rsidR="00C42DEB">
          <w:rPr>
            <w:noProof/>
            <w:webHidden/>
          </w:rPr>
          <w:instrText xml:space="preserve"> PAGEREF _Toc341725520 \h </w:instrText>
        </w:r>
        <w:r>
          <w:rPr>
            <w:noProof/>
            <w:webHidden/>
          </w:rPr>
        </w:r>
        <w:r>
          <w:rPr>
            <w:noProof/>
            <w:webHidden/>
          </w:rPr>
          <w:fldChar w:fldCharType="separate"/>
        </w:r>
        <w:r w:rsidR="00852CBE">
          <w:rPr>
            <w:noProof/>
            <w:webHidden/>
          </w:rPr>
          <w:t>8</w:t>
        </w:r>
        <w:r>
          <w:rPr>
            <w:noProof/>
            <w:webHidden/>
          </w:rPr>
          <w:fldChar w:fldCharType="end"/>
        </w:r>
      </w:hyperlink>
    </w:p>
    <w:p w:rsidR="00C42DEB" w:rsidRDefault="00936BE3">
      <w:pPr>
        <w:pStyle w:val="TDC2"/>
        <w:rPr>
          <w:rFonts w:ascii="Calibri" w:hAnsi="Calibri"/>
          <w:noProof/>
          <w:sz w:val="22"/>
          <w:szCs w:val="22"/>
        </w:rPr>
      </w:pPr>
      <w:hyperlink w:anchor="_Toc341725521" w:history="1">
        <w:r w:rsidR="00C42DEB" w:rsidRPr="004B3FDF">
          <w:rPr>
            <w:rStyle w:val="Hipervnculo"/>
            <w:noProof/>
          </w:rPr>
          <w:t>5</w:t>
        </w:r>
        <w:r w:rsidR="00C42DEB">
          <w:rPr>
            <w:rFonts w:ascii="Calibri" w:hAnsi="Calibri"/>
            <w:noProof/>
            <w:sz w:val="22"/>
            <w:szCs w:val="22"/>
          </w:rPr>
          <w:tab/>
        </w:r>
        <w:r w:rsidR="00C42DEB" w:rsidRPr="004B3FDF">
          <w:rPr>
            <w:rStyle w:val="Hipervnculo"/>
            <w:rFonts w:cs="Arial"/>
            <w:noProof/>
          </w:rPr>
          <w:t>Definición de progresión de la ERC</w:t>
        </w:r>
        <w:r w:rsidR="00C42DEB">
          <w:rPr>
            <w:noProof/>
            <w:webHidden/>
          </w:rPr>
          <w:tab/>
        </w:r>
        <w:r>
          <w:rPr>
            <w:noProof/>
            <w:webHidden/>
          </w:rPr>
          <w:fldChar w:fldCharType="begin"/>
        </w:r>
        <w:r w:rsidR="00C42DEB">
          <w:rPr>
            <w:noProof/>
            <w:webHidden/>
          </w:rPr>
          <w:instrText xml:space="preserve"> PAGEREF _Toc341725521 \h </w:instrText>
        </w:r>
        <w:r>
          <w:rPr>
            <w:noProof/>
            <w:webHidden/>
          </w:rPr>
        </w:r>
        <w:r>
          <w:rPr>
            <w:noProof/>
            <w:webHidden/>
          </w:rPr>
          <w:fldChar w:fldCharType="separate"/>
        </w:r>
        <w:r w:rsidR="00852CBE">
          <w:rPr>
            <w:noProof/>
            <w:webHidden/>
          </w:rPr>
          <w:t>14</w:t>
        </w:r>
        <w:r>
          <w:rPr>
            <w:noProof/>
            <w:webHidden/>
          </w:rPr>
          <w:fldChar w:fldCharType="end"/>
        </w:r>
      </w:hyperlink>
    </w:p>
    <w:p w:rsidR="00C42DEB" w:rsidRDefault="00936BE3">
      <w:pPr>
        <w:pStyle w:val="TDC2"/>
        <w:rPr>
          <w:rFonts w:ascii="Calibri" w:hAnsi="Calibri"/>
          <w:noProof/>
          <w:sz w:val="22"/>
          <w:szCs w:val="22"/>
        </w:rPr>
      </w:pPr>
      <w:hyperlink w:anchor="_Toc341725522" w:history="1">
        <w:r w:rsidR="00C42DEB" w:rsidRPr="004B3FDF">
          <w:rPr>
            <w:rStyle w:val="Hipervnculo"/>
            <w:noProof/>
          </w:rPr>
          <w:t>6</w:t>
        </w:r>
        <w:r w:rsidR="00C42DEB">
          <w:rPr>
            <w:rFonts w:ascii="Calibri" w:hAnsi="Calibri"/>
            <w:noProof/>
            <w:sz w:val="22"/>
            <w:szCs w:val="22"/>
          </w:rPr>
          <w:tab/>
        </w:r>
        <w:r w:rsidR="00C42DEB" w:rsidRPr="004B3FDF">
          <w:rPr>
            <w:rStyle w:val="Hipervnculo"/>
            <w:rFonts w:cs="Arial"/>
            <w:noProof/>
          </w:rPr>
          <w:t>Predictores de progresión.</w:t>
        </w:r>
        <w:r w:rsidR="00C42DEB">
          <w:rPr>
            <w:noProof/>
            <w:webHidden/>
          </w:rPr>
          <w:tab/>
        </w:r>
        <w:r>
          <w:rPr>
            <w:noProof/>
            <w:webHidden/>
          </w:rPr>
          <w:fldChar w:fldCharType="begin"/>
        </w:r>
        <w:r w:rsidR="00C42DEB">
          <w:rPr>
            <w:noProof/>
            <w:webHidden/>
          </w:rPr>
          <w:instrText xml:space="preserve"> PAGEREF _Toc341725522 \h </w:instrText>
        </w:r>
        <w:r>
          <w:rPr>
            <w:noProof/>
            <w:webHidden/>
          </w:rPr>
        </w:r>
        <w:r>
          <w:rPr>
            <w:noProof/>
            <w:webHidden/>
          </w:rPr>
          <w:fldChar w:fldCharType="separate"/>
        </w:r>
        <w:r w:rsidR="00852CBE">
          <w:rPr>
            <w:noProof/>
            <w:webHidden/>
          </w:rPr>
          <w:t>15</w:t>
        </w:r>
        <w:r>
          <w:rPr>
            <w:noProof/>
            <w:webHidden/>
          </w:rPr>
          <w:fldChar w:fldCharType="end"/>
        </w:r>
      </w:hyperlink>
    </w:p>
    <w:p w:rsidR="00C42DEB" w:rsidRDefault="00936BE3">
      <w:pPr>
        <w:pStyle w:val="TDC2"/>
        <w:rPr>
          <w:rFonts w:ascii="Calibri" w:hAnsi="Calibri"/>
          <w:noProof/>
          <w:sz w:val="22"/>
          <w:szCs w:val="22"/>
        </w:rPr>
      </w:pPr>
      <w:hyperlink w:anchor="_Toc341725523" w:history="1">
        <w:r w:rsidR="00C42DEB" w:rsidRPr="004B3FDF">
          <w:rPr>
            <w:rStyle w:val="Hipervnculo"/>
            <w:noProof/>
          </w:rPr>
          <w:t>7</w:t>
        </w:r>
        <w:r w:rsidR="00C42DEB">
          <w:rPr>
            <w:rFonts w:ascii="Calibri" w:hAnsi="Calibri"/>
            <w:noProof/>
            <w:sz w:val="22"/>
            <w:szCs w:val="22"/>
          </w:rPr>
          <w:tab/>
        </w:r>
        <w:r w:rsidR="00C42DEB" w:rsidRPr="004B3FDF">
          <w:rPr>
            <w:rStyle w:val="Hipervnculo"/>
            <w:rFonts w:cs="Arial"/>
            <w:noProof/>
          </w:rPr>
          <w:t>Criterios de derivación a nefrología.</w:t>
        </w:r>
        <w:r w:rsidR="00C42DEB">
          <w:rPr>
            <w:noProof/>
            <w:webHidden/>
          </w:rPr>
          <w:tab/>
        </w:r>
        <w:r>
          <w:rPr>
            <w:noProof/>
            <w:webHidden/>
          </w:rPr>
          <w:fldChar w:fldCharType="begin"/>
        </w:r>
        <w:r w:rsidR="00C42DEB">
          <w:rPr>
            <w:noProof/>
            <w:webHidden/>
          </w:rPr>
          <w:instrText xml:space="preserve"> PAGEREF _Toc341725523 \h </w:instrText>
        </w:r>
        <w:r>
          <w:rPr>
            <w:noProof/>
            <w:webHidden/>
          </w:rPr>
        </w:r>
        <w:r>
          <w:rPr>
            <w:noProof/>
            <w:webHidden/>
          </w:rPr>
          <w:fldChar w:fldCharType="separate"/>
        </w:r>
        <w:r w:rsidR="00852CBE">
          <w:rPr>
            <w:noProof/>
            <w:webHidden/>
          </w:rPr>
          <w:t>16</w:t>
        </w:r>
        <w:r>
          <w:rPr>
            <w:noProof/>
            <w:webHidden/>
          </w:rPr>
          <w:fldChar w:fldCharType="end"/>
        </w:r>
      </w:hyperlink>
    </w:p>
    <w:p w:rsidR="00C42DEB" w:rsidRDefault="00936BE3">
      <w:pPr>
        <w:pStyle w:val="TDC2"/>
        <w:rPr>
          <w:rFonts w:ascii="Calibri" w:hAnsi="Calibri"/>
          <w:noProof/>
          <w:sz w:val="22"/>
          <w:szCs w:val="22"/>
        </w:rPr>
      </w:pPr>
      <w:hyperlink w:anchor="_Toc341725524" w:history="1">
        <w:r w:rsidR="00C42DEB" w:rsidRPr="004B3FDF">
          <w:rPr>
            <w:rStyle w:val="Hipervnculo"/>
            <w:noProof/>
          </w:rPr>
          <w:t>8</w:t>
        </w:r>
        <w:r w:rsidR="00C42DEB">
          <w:rPr>
            <w:rFonts w:ascii="Calibri" w:hAnsi="Calibri"/>
            <w:noProof/>
            <w:sz w:val="22"/>
            <w:szCs w:val="22"/>
          </w:rPr>
          <w:tab/>
        </w:r>
        <w:r w:rsidR="00C42DEB" w:rsidRPr="004B3FDF">
          <w:rPr>
            <w:rStyle w:val="Hipervnculo"/>
            <w:rFonts w:cs="Arial"/>
            <w:noProof/>
          </w:rPr>
          <w:t>Seguimiento del paciente y actitudes.</w:t>
        </w:r>
        <w:r w:rsidR="00C42DEB">
          <w:rPr>
            <w:noProof/>
            <w:webHidden/>
          </w:rPr>
          <w:tab/>
        </w:r>
        <w:r>
          <w:rPr>
            <w:noProof/>
            <w:webHidden/>
          </w:rPr>
          <w:fldChar w:fldCharType="begin"/>
        </w:r>
        <w:r w:rsidR="00C42DEB">
          <w:rPr>
            <w:noProof/>
            <w:webHidden/>
          </w:rPr>
          <w:instrText xml:space="preserve"> PAGEREF _Toc341725524 \h </w:instrText>
        </w:r>
        <w:r>
          <w:rPr>
            <w:noProof/>
            <w:webHidden/>
          </w:rPr>
        </w:r>
        <w:r>
          <w:rPr>
            <w:noProof/>
            <w:webHidden/>
          </w:rPr>
          <w:fldChar w:fldCharType="separate"/>
        </w:r>
        <w:r w:rsidR="00852CBE">
          <w:rPr>
            <w:noProof/>
            <w:webHidden/>
          </w:rPr>
          <w:t>18</w:t>
        </w:r>
        <w:r>
          <w:rPr>
            <w:noProof/>
            <w:webHidden/>
          </w:rPr>
          <w:fldChar w:fldCharType="end"/>
        </w:r>
      </w:hyperlink>
    </w:p>
    <w:p w:rsidR="00C42DEB" w:rsidRDefault="00936BE3">
      <w:pPr>
        <w:pStyle w:val="TDC2"/>
        <w:rPr>
          <w:rFonts w:ascii="Calibri" w:hAnsi="Calibri"/>
          <w:noProof/>
          <w:sz w:val="22"/>
          <w:szCs w:val="22"/>
        </w:rPr>
      </w:pPr>
      <w:hyperlink w:anchor="_Toc341725525" w:history="1">
        <w:r w:rsidR="00C42DEB" w:rsidRPr="004B3FDF">
          <w:rPr>
            <w:rStyle w:val="Hipervnculo"/>
            <w:noProof/>
          </w:rPr>
          <w:t>9</w:t>
        </w:r>
        <w:r w:rsidR="00C42DEB">
          <w:rPr>
            <w:rFonts w:ascii="Calibri" w:hAnsi="Calibri"/>
            <w:noProof/>
            <w:sz w:val="22"/>
            <w:szCs w:val="22"/>
          </w:rPr>
          <w:tab/>
        </w:r>
        <w:r w:rsidR="00C42DEB" w:rsidRPr="004B3FDF">
          <w:rPr>
            <w:rStyle w:val="Hipervnculo"/>
            <w:rFonts w:cs="Arial"/>
            <w:noProof/>
          </w:rPr>
          <w:t>Prevención de la nefrotoxicidad.</w:t>
        </w:r>
        <w:r w:rsidR="00C42DEB">
          <w:rPr>
            <w:noProof/>
            <w:webHidden/>
          </w:rPr>
          <w:tab/>
        </w:r>
        <w:r>
          <w:rPr>
            <w:noProof/>
            <w:webHidden/>
          </w:rPr>
          <w:fldChar w:fldCharType="begin"/>
        </w:r>
        <w:r w:rsidR="00C42DEB">
          <w:rPr>
            <w:noProof/>
            <w:webHidden/>
          </w:rPr>
          <w:instrText xml:space="preserve"> PAGEREF _Toc341725525 \h </w:instrText>
        </w:r>
        <w:r>
          <w:rPr>
            <w:noProof/>
            <w:webHidden/>
          </w:rPr>
        </w:r>
        <w:r>
          <w:rPr>
            <w:noProof/>
            <w:webHidden/>
          </w:rPr>
          <w:fldChar w:fldCharType="separate"/>
        </w:r>
        <w:r w:rsidR="00852CBE">
          <w:rPr>
            <w:noProof/>
            <w:webHidden/>
          </w:rPr>
          <w:t>19</w:t>
        </w:r>
        <w:r>
          <w:rPr>
            <w:noProof/>
            <w:webHidden/>
          </w:rPr>
          <w:fldChar w:fldCharType="end"/>
        </w:r>
      </w:hyperlink>
    </w:p>
    <w:p w:rsidR="00C42DEB" w:rsidRDefault="00936BE3">
      <w:pPr>
        <w:pStyle w:val="TDC2"/>
        <w:rPr>
          <w:rFonts w:ascii="Calibri" w:hAnsi="Calibri"/>
          <w:noProof/>
          <w:sz w:val="22"/>
          <w:szCs w:val="22"/>
        </w:rPr>
      </w:pPr>
      <w:hyperlink w:anchor="_Toc341725526" w:history="1">
        <w:r w:rsidR="00C42DEB" w:rsidRPr="004B3FDF">
          <w:rPr>
            <w:rStyle w:val="Hipervnculo"/>
            <w:noProof/>
          </w:rPr>
          <w:t>10</w:t>
        </w:r>
        <w:r w:rsidR="00C42DEB">
          <w:rPr>
            <w:rFonts w:ascii="Calibri" w:hAnsi="Calibri"/>
            <w:noProof/>
            <w:sz w:val="22"/>
            <w:szCs w:val="22"/>
          </w:rPr>
          <w:tab/>
        </w:r>
        <w:r w:rsidR="00C42DEB" w:rsidRPr="004B3FDF">
          <w:rPr>
            <w:rStyle w:val="Hipervnculo"/>
            <w:rFonts w:cs="Arial"/>
            <w:noProof/>
          </w:rPr>
          <w:t>Detección de lesión orgánica cardiovascular asintomática en la ERC.</w:t>
        </w:r>
        <w:r w:rsidR="00C42DEB">
          <w:rPr>
            <w:noProof/>
            <w:webHidden/>
          </w:rPr>
          <w:tab/>
        </w:r>
        <w:r>
          <w:rPr>
            <w:noProof/>
            <w:webHidden/>
          </w:rPr>
          <w:fldChar w:fldCharType="begin"/>
        </w:r>
        <w:r w:rsidR="00C42DEB">
          <w:rPr>
            <w:noProof/>
            <w:webHidden/>
          </w:rPr>
          <w:instrText xml:space="preserve"> PAGEREF _Toc341725526 \h </w:instrText>
        </w:r>
        <w:r>
          <w:rPr>
            <w:noProof/>
            <w:webHidden/>
          </w:rPr>
        </w:r>
        <w:r>
          <w:rPr>
            <w:noProof/>
            <w:webHidden/>
          </w:rPr>
          <w:fldChar w:fldCharType="separate"/>
        </w:r>
        <w:r w:rsidR="00852CBE">
          <w:rPr>
            <w:noProof/>
            <w:webHidden/>
          </w:rPr>
          <w:t>20</w:t>
        </w:r>
        <w:r>
          <w:rPr>
            <w:noProof/>
            <w:webHidden/>
          </w:rPr>
          <w:fldChar w:fldCharType="end"/>
        </w:r>
      </w:hyperlink>
    </w:p>
    <w:p w:rsidR="00C42DEB" w:rsidRDefault="00936BE3">
      <w:pPr>
        <w:pStyle w:val="TDC2"/>
        <w:rPr>
          <w:rFonts w:ascii="Calibri" w:hAnsi="Calibri"/>
          <w:noProof/>
          <w:sz w:val="22"/>
          <w:szCs w:val="22"/>
        </w:rPr>
      </w:pPr>
      <w:hyperlink w:anchor="_Toc341725527" w:history="1">
        <w:r w:rsidR="00C42DEB" w:rsidRPr="004B3FDF">
          <w:rPr>
            <w:rStyle w:val="Hipervnculo"/>
            <w:noProof/>
          </w:rPr>
          <w:t>11</w:t>
        </w:r>
        <w:r w:rsidR="00C42DEB">
          <w:rPr>
            <w:rFonts w:ascii="Calibri" w:hAnsi="Calibri"/>
            <w:noProof/>
            <w:sz w:val="22"/>
            <w:szCs w:val="22"/>
          </w:rPr>
          <w:tab/>
        </w:r>
        <w:r w:rsidR="00C42DEB" w:rsidRPr="004B3FDF">
          <w:rPr>
            <w:rStyle w:val="Hipervnculo"/>
            <w:rFonts w:cs="Arial"/>
            <w:noProof/>
          </w:rPr>
          <w:t>Actitudes, estilo de vida y tratamiento</w:t>
        </w:r>
        <w:r w:rsidR="00C42DEB">
          <w:rPr>
            <w:noProof/>
            <w:webHidden/>
          </w:rPr>
          <w:tab/>
        </w:r>
        <w:r>
          <w:rPr>
            <w:noProof/>
            <w:webHidden/>
          </w:rPr>
          <w:fldChar w:fldCharType="begin"/>
        </w:r>
        <w:r w:rsidR="00C42DEB">
          <w:rPr>
            <w:noProof/>
            <w:webHidden/>
          </w:rPr>
          <w:instrText xml:space="preserve"> PAGEREF _Toc341725527 \h </w:instrText>
        </w:r>
        <w:r>
          <w:rPr>
            <w:noProof/>
            <w:webHidden/>
          </w:rPr>
        </w:r>
        <w:r>
          <w:rPr>
            <w:noProof/>
            <w:webHidden/>
          </w:rPr>
          <w:fldChar w:fldCharType="separate"/>
        </w:r>
        <w:r w:rsidR="00852CBE">
          <w:rPr>
            <w:noProof/>
            <w:webHidden/>
          </w:rPr>
          <w:t>21</w:t>
        </w:r>
        <w:r>
          <w:rPr>
            <w:noProof/>
            <w:webHidden/>
          </w:rPr>
          <w:fldChar w:fldCharType="end"/>
        </w:r>
      </w:hyperlink>
    </w:p>
    <w:p w:rsidR="00C42DEB" w:rsidRDefault="00936BE3">
      <w:pPr>
        <w:pStyle w:val="TDC2"/>
        <w:rPr>
          <w:rFonts w:ascii="Calibri" w:hAnsi="Calibri"/>
          <w:noProof/>
          <w:sz w:val="22"/>
          <w:szCs w:val="22"/>
        </w:rPr>
      </w:pPr>
      <w:hyperlink w:anchor="_Toc341725528" w:history="1">
        <w:r w:rsidR="00C42DEB" w:rsidRPr="004B3FDF">
          <w:rPr>
            <w:rStyle w:val="Hipervnculo"/>
            <w:noProof/>
          </w:rPr>
          <w:t>12</w:t>
        </w:r>
        <w:r w:rsidR="00C42DEB">
          <w:rPr>
            <w:rFonts w:ascii="Calibri" w:hAnsi="Calibri"/>
            <w:noProof/>
            <w:sz w:val="22"/>
            <w:szCs w:val="22"/>
          </w:rPr>
          <w:tab/>
        </w:r>
        <w:r w:rsidR="00C42DEB" w:rsidRPr="004B3FDF">
          <w:rPr>
            <w:rStyle w:val="Hipervnculo"/>
            <w:rFonts w:cs="Arial"/>
            <w:noProof/>
          </w:rPr>
          <w:t>HTA en la ERC: objetivos de tratamiento.</w:t>
        </w:r>
        <w:r w:rsidR="00C42DEB">
          <w:rPr>
            <w:noProof/>
            <w:webHidden/>
          </w:rPr>
          <w:tab/>
        </w:r>
        <w:r>
          <w:rPr>
            <w:noProof/>
            <w:webHidden/>
          </w:rPr>
          <w:fldChar w:fldCharType="begin"/>
        </w:r>
        <w:r w:rsidR="00C42DEB">
          <w:rPr>
            <w:noProof/>
            <w:webHidden/>
          </w:rPr>
          <w:instrText xml:space="preserve"> PAGEREF _Toc341725528 \h </w:instrText>
        </w:r>
        <w:r>
          <w:rPr>
            <w:noProof/>
            <w:webHidden/>
          </w:rPr>
        </w:r>
        <w:r>
          <w:rPr>
            <w:noProof/>
            <w:webHidden/>
          </w:rPr>
          <w:fldChar w:fldCharType="separate"/>
        </w:r>
        <w:r w:rsidR="00852CBE">
          <w:rPr>
            <w:noProof/>
            <w:webHidden/>
          </w:rPr>
          <w:t>22</w:t>
        </w:r>
        <w:r>
          <w:rPr>
            <w:noProof/>
            <w:webHidden/>
          </w:rPr>
          <w:fldChar w:fldCharType="end"/>
        </w:r>
      </w:hyperlink>
    </w:p>
    <w:p w:rsidR="00C42DEB" w:rsidRDefault="00936BE3">
      <w:pPr>
        <w:pStyle w:val="TDC2"/>
        <w:rPr>
          <w:rFonts w:ascii="Calibri" w:hAnsi="Calibri"/>
          <w:noProof/>
          <w:sz w:val="22"/>
          <w:szCs w:val="22"/>
        </w:rPr>
      </w:pPr>
      <w:hyperlink w:anchor="_Toc341725529" w:history="1">
        <w:r w:rsidR="00C42DEB" w:rsidRPr="004B3FDF">
          <w:rPr>
            <w:rStyle w:val="Hipervnculo"/>
            <w:noProof/>
          </w:rPr>
          <w:t>13</w:t>
        </w:r>
        <w:r w:rsidR="00C42DEB">
          <w:rPr>
            <w:rFonts w:ascii="Calibri" w:hAnsi="Calibri"/>
            <w:noProof/>
            <w:sz w:val="22"/>
            <w:szCs w:val="22"/>
          </w:rPr>
          <w:tab/>
        </w:r>
        <w:r w:rsidR="00C42DEB" w:rsidRPr="004B3FDF">
          <w:rPr>
            <w:rStyle w:val="Hipervnculo"/>
            <w:rFonts w:cs="Arial"/>
            <w:noProof/>
          </w:rPr>
          <w:t>Manejo de la hiperglucemia en la ERC.</w:t>
        </w:r>
        <w:r w:rsidR="00C42DEB">
          <w:rPr>
            <w:noProof/>
            <w:webHidden/>
          </w:rPr>
          <w:tab/>
        </w:r>
        <w:r>
          <w:rPr>
            <w:noProof/>
            <w:webHidden/>
          </w:rPr>
          <w:fldChar w:fldCharType="begin"/>
        </w:r>
        <w:r w:rsidR="00C42DEB">
          <w:rPr>
            <w:noProof/>
            <w:webHidden/>
          </w:rPr>
          <w:instrText xml:space="preserve"> PAGEREF _Toc341725529 \h </w:instrText>
        </w:r>
        <w:r>
          <w:rPr>
            <w:noProof/>
            <w:webHidden/>
          </w:rPr>
        </w:r>
        <w:r>
          <w:rPr>
            <w:noProof/>
            <w:webHidden/>
          </w:rPr>
          <w:fldChar w:fldCharType="separate"/>
        </w:r>
        <w:r w:rsidR="00852CBE">
          <w:rPr>
            <w:noProof/>
            <w:webHidden/>
          </w:rPr>
          <w:t>23</w:t>
        </w:r>
        <w:r>
          <w:rPr>
            <w:noProof/>
            <w:webHidden/>
          </w:rPr>
          <w:fldChar w:fldCharType="end"/>
        </w:r>
      </w:hyperlink>
    </w:p>
    <w:p w:rsidR="00C42DEB" w:rsidRDefault="00936BE3">
      <w:pPr>
        <w:pStyle w:val="TDC2"/>
        <w:rPr>
          <w:rFonts w:ascii="Calibri" w:hAnsi="Calibri"/>
          <w:noProof/>
          <w:sz w:val="22"/>
          <w:szCs w:val="22"/>
        </w:rPr>
      </w:pPr>
      <w:hyperlink w:anchor="_Toc341725530" w:history="1">
        <w:r w:rsidR="00C42DEB" w:rsidRPr="004B3FDF">
          <w:rPr>
            <w:rStyle w:val="Hipervnculo"/>
            <w:noProof/>
          </w:rPr>
          <w:t>14</w:t>
        </w:r>
        <w:r w:rsidR="00C42DEB">
          <w:rPr>
            <w:rFonts w:ascii="Calibri" w:hAnsi="Calibri"/>
            <w:noProof/>
            <w:sz w:val="22"/>
            <w:szCs w:val="22"/>
          </w:rPr>
          <w:tab/>
        </w:r>
        <w:r w:rsidR="00C42DEB" w:rsidRPr="004B3FDF">
          <w:rPr>
            <w:rStyle w:val="Hipervnculo"/>
            <w:rFonts w:cs="Arial"/>
            <w:noProof/>
          </w:rPr>
          <w:t>Objetivos y manejo de la dislipemia.</w:t>
        </w:r>
        <w:r w:rsidR="00C42DEB">
          <w:rPr>
            <w:noProof/>
            <w:webHidden/>
          </w:rPr>
          <w:tab/>
        </w:r>
        <w:r>
          <w:rPr>
            <w:noProof/>
            <w:webHidden/>
          </w:rPr>
          <w:fldChar w:fldCharType="begin"/>
        </w:r>
        <w:r w:rsidR="00C42DEB">
          <w:rPr>
            <w:noProof/>
            <w:webHidden/>
          </w:rPr>
          <w:instrText xml:space="preserve"> PAGEREF _Toc341725530 \h </w:instrText>
        </w:r>
        <w:r>
          <w:rPr>
            <w:noProof/>
            <w:webHidden/>
          </w:rPr>
        </w:r>
        <w:r>
          <w:rPr>
            <w:noProof/>
            <w:webHidden/>
          </w:rPr>
          <w:fldChar w:fldCharType="separate"/>
        </w:r>
        <w:r w:rsidR="00852CBE">
          <w:rPr>
            <w:noProof/>
            <w:webHidden/>
          </w:rPr>
          <w:t>26</w:t>
        </w:r>
        <w:r>
          <w:rPr>
            <w:noProof/>
            <w:webHidden/>
          </w:rPr>
          <w:fldChar w:fldCharType="end"/>
        </w:r>
      </w:hyperlink>
    </w:p>
    <w:p w:rsidR="00C42DEB" w:rsidRDefault="00936BE3">
      <w:pPr>
        <w:pStyle w:val="TDC2"/>
        <w:rPr>
          <w:rFonts w:ascii="Calibri" w:hAnsi="Calibri"/>
          <w:noProof/>
          <w:sz w:val="22"/>
          <w:szCs w:val="22"/>
        </w:rPr>
      </w:pPr>
      <w:hyperlink w:anchor="_Toc341725531" w:history="1">
        <w:r w:rsidR="00C42DEB" w:rsidRPr="004B3FDF">
          <w:rPr>
            <w:rStyle w:val="Hipervnculo"/>
            <w:noProof/>
          </w:rPr>
          <w:t>15</w:t>
        </w:r>
        <w:r w:rsidR="00C42DEB">
          <w:rPr>
            <w:rFonts w:ascii="Calibri" w:hAnsi="Calibri"/>
            <w:noProof/>
            <w:sz w:val="22"/>
            <w:szCs w:val="22"/>
          </w:rPr>
          <w:tab/>
        </w:r>
        <w:r w:rsidR="00C42DEB" w:rsidRPr="004B3FDF">
          <w:rPr>
            <w:rStyle w:val="Hipervnculo"/>
            <w:rFonts w:cs="Arial"/>
            <w:noProof/>
          </w:rPr>
          <w:t>Tabaquismo.</w:t>
        </w:r>
        <w:r w:rsidR="00C42DEB">
          <w:rPr>
            <w:noProof/>
            <w:webHidden/>
          </w:rPr>
          <w:tab/>
        </w:r>
        <w:r>
          <w:rPr>
            <w:noProof/>
            <w:webHidden/>
          </w:rPr>
          <w:fldChar w:fldCharType="begin"/>
        </w:r>
        <w:r w:rsidR="00C42DEB">
          <w:rPr>
            <w:noProof/>
            <w:webHidden/>
          </w:rPr>
          <w:instrText xml:space="preserve"> PAGEREF _Toc341725531 \h </w:instrText>
        </w:r>
        <w:r>
          <w:rPr>
            <w:noProof/>
            <w:webHidden/>
          </w:rPr>
        </w:r>
        <w:r>
          <w:rPr>
            <w:noProof/>
            <w:webHidden/>
          </w:rPr>
          <w:fldChar w:fldCharType="separate"/>
        </w:r>
        <w:r w:rsidR="00852CBE">
          <w:rPr>
            <w:noProof/>
            <w:webHidden/>
          </w:rPr>
          <w:t>29</w:t>
        </w:r>
        <w:r>
          <w:rPr>
            <w:noProof/>
            <w:webHidden/>
          </w:rPr>
          <w:fldChar w:fldCharType="end"/>
        </w:r>
      </w:hyperlink>
    </w:p>
    <w:p w:rsidR="00C42DEB" w:rsidRDefault="00936BE3">
      <w:pPr>
        <w:pStyle w:val="TDC2"/>
        <w:rPr>
          <w:rFonts w:ascii="Calibri" w:hAnsi="Calibri"/>
          <w:noProof/>
          <w:sz w:val="22"/>
          <w:szCs w:val="22"/>
        </w:rPr>
      </w:pPr>
      <w:hyperlink w:anchor="_Toc341725532" w:history="1">
        <w:r w:rsidR="00C42DEB" w:rsidRPr="004B3FDF">
          <w:rPr>
            <w:rStyle w:val="Hipervnculo"/>
            <w:noProof/>
          </w:rPr>
          <w:t>16</w:t>
        </w:r>
        <w:r w:rsidR="00C42DEB">
          <w:rPr>
            <w:rFonts w:ascii="Calibri" w:hAnsi="Calibri"/>
            <w:noProof/>
            <w:sz w:val="22"/>
            <w:szCs w:val="22"/>
          </w:rPr>
          <w:tab/>
        </w:r>
        <w:r w:rsidR="00C42DEB" w:rsidRPr="004B3FDF">
          <w:rPr>
            <w:rStyle w:val="Hipervnculo"/>
            <w:rFonts w:cs="Arial"/>
            <w:noProof/>
          </w:rPr>
          <w:t>Obesidad.</w:t>
        </w:r>
        <w:r w:rsidR="00C42DEB">
          <w:rPr>
            <w:noProof/>
            <w:webHidden/>
          </w:rPr>
          <w:tab/>
        </w:r>
        <w:r>
          <w:rPr>
            <w:noProof/>
            <w:webHidden/>
          </w:rPr>
          <w:fldChar w:fldCharType="begin"/>
        </w:r>
        <w:r w:rsidR="00C42DEB">
          <w:rPr>
            <w:noProof/>
            <w:webHidden/>
          </w:rPr>
          <w:instrText xml:space="preserve"> PAGEREF _Toc341725532 \h </w:instrText>
        </w:r>
        <w:r>
          <w:rPr>
            <w:noProof/>
            <w:webHidden/>
          </w:rPr>
        </w:r>
        <w:r>
          <w:rPr>
            <w:noProof/>
            <w:webHidden/>
          </w:rPr>
          <w:fldChar w:fldCharType="separate"/>
        </w:r>
        <w:r w:rsidR="00852CBE">
          <w:rPr>
            <w:noProof/>
            <w:webHidden/>
          </w:rPr>
          <w:t>30</w:t>
        </w:r>
        <w:r>
          <w:rPr>
            <w:noProof/>
            <w:webHidden/>
          </w:rPr>
          <w:fldChar w:fldCharType="end"/>
        </w:r>
      </w:hyperlink>
    </w:p>
    <w:p w:rsidR="00C42DEB" w:rsidRDefault="00936BE3">
      <w:pPr>
        <w:pStyle w:val="TDC2"/>
        <w:rPr>
          <w:rFonts w:ascii="Calibri" w:hAnsi="Calibri"/>
          <w:noProof/>
          <w:sz w:val="22"/>
          <w:szCs w:val="22"/>
        </w:rPr>
      </w:pPr>
      <w:hyperlink w:anchor="_Toc341725533" w:history="1">
        <w:r w:rsidR="00C42DEB" w:rsidRPr="004B3FDF">
          <w:rPr>
            <w:rStyle w:val="Hipervnculo"/>
            <w:noProof/>
          </w:rPr>
          <w:t>17</w:t>
        </w:r>
        <w:r w:rsidR="00C42DEB">
          <w:rPr>
            <w:rFonts w:ascii="Calibri" w:hAnsi="Calibri"/>
            <w:noProof/>
            <w:sz w:val="22"/>
            <w:szCs w:val="22"/>
          </w:rPr>
          <w:tab/>
        </w:r>
        <w:r w:rsidR="00C42DEB" w:rsidRPr="004B3FDF">
          <w:rPr>
            <w:rStyle w:val="Hipervnculo"/>
            <w:rFonts w:cs="Arial"/>
            <w:noProof/>
          </w:rPr>
          <w:t>Antigregación.</w:t>
        </w:r>
        <w:r w:rsidR="00C42DEB">
          <w:rPr>
            <w:noProof/>
            <w:webHidden/>
          </w:rPr>
          <w:tab/>
        </w:r>
        <w:r>
          <w:rPr>
            <w:noProof/>
            <w:webHidden/>
          </w:rPr>
          <w:fldChar w:fldCharType="begin"/>
        </w:r>
        <w:r w:rsidR="00C42DEB">
          <w:rPr>
            <w:noProof/>
            <w:webHidden/>
          </w:rPr>
          <w:instrText xml:space="preserve"> PAGEREF _Toc341725533 \h </w:instrText>
        </w:r>
        <w:r>
          <w:rPr>
            <w:noProof/>
            <w:webHidden/>
          </w:rPr>
        </w:r>
        <w:r>
          <w:rPr>
            <w:noProof/>
            <w:webHidden/>
          </w:rPr>
          <w:fldChar w:fldCharType="separate"/>
        </w:r>
        <w:r w:rsidR="00852CBE">
          <w:rPr>
            <w:noProof/>
            <w:webHidden/>
          </w:rPr>
          <w:t>31</w:t>
        </w:r>
        <w:r>
          <w:rPr>
            <w:noProof/>
            <w:webHidden/>
          </w:rPr>
          <w:fldChar w:fldCharType="end"/>
        </w:r>
      </w:hyperlink>
    </w:p>
    <w:p w:rsidR="00C42DEB" w:rsidRDefault="00936BE3">
      <w:pPr>
        <w:pStyle w:val="TDC2"/>
        <w:rPr>
          <w:rFonts w:ascii="Calibri" w:hAnsi="Calibri"/>
          <w:noProof/>
          <w:sz w:val="22"/>
          <w:szCs w:val="22"/>
        </w:rPr>
      </w:pPr>
      <w:hyperlink w:anchor="_Toc341725534" w:history="1">
        <w:r w:rsidR="00C42DEB" w:rsidRPr="004B3FDF">
          <w:rPr>
            <w:rStyle w:val="Hipervnculo"/>
            <w:noProof/>
          </w:rPr>
          <w:t>18</w:t>
        </w:r>
        <w:r w:rsidR="00C42DEB">
          <w:rPr>
            <w:rFonts w:ascii="Calibri" w:hAnsi="Calibri"/>
            <w:noProof/>
            <w:sz w:val="22"/>
            <w:szCs w:val="22"/>
          </w:rPr>
          <w:tab/>
        </w:r>
        <w:r w:rsidR="00C42DEB" w:rsidRPr="004B3FDF">
          <w:rPr>
            <w:rStyle w:val="Hipervnculo"/>
            <w:rFonts w:cs="Arial"/>
            <w:noProof/>
          </w:rPr>
          <w:t>Hiperuricemia.</w:t>
        </w:r>
        <w:r w:rsidR="00C42DEB">
          <w:rPr>
            <w:noProof/>
            <w:webHidden/>
          </w:rPr>
          <w:tab/>
        </w:r>
        <w:r>
          <w:rPr>
            <w:noProof/>
            <w:webHidden/>
          </w:rPr>
          <w:fldChar w:fldCharType="begin"/>
        </w:r>
        <w:r w:rsidR="00C42DEB">
          <w:rPr>
            <w:noProof/>
            <w:webHidden/>
          </w:rPr>
          <w:instrText xml:space="preserve"> PAGEREF _Toc341725534 \h </w:instrText>
        </w:r>
        <w:r>
          <w:rPr>
            <w:noProof/>
            <w:webHidden/>
          </w:rPr>
        </w:r>
        <w:r>
          <w:rPr>
            <w:noProof/>
            <w:webHidden/>
          </w:rPr>
          <w:fldChar w:fldCharType="separate"/>
        </w:r>
        <w:r w:rsidR="00852CBE">
          <w:rPr>
            <w:noProof/>
            <w:webHidden/>
          </w:rPr>
          <w:t>31</w:t>
        </w:r>
        <w:r>
          <w:rPr>
            <w:noProof/>
            <w:webHidden/>
          </w:rPr>
          <w:fldChar w:fldCharType="end"/>
        </w:r>
      </w:hyperlink>
    </w:p>
    <w:p w:rsidR="00C42DEB" w:rsidRDefault="00936BE3">
      <w:pPr>
        <w:pStyle w:val="TDC2"/>
        <w:rPr>
          <w:rFonts w:ascii="Calibri" w:hAnsi="Calibri"/>
          <w:noProof/>
          <w:sz w:val="22"/>
          <w:szCs w:val="22"/>
        </w:rPr>
      </w:pPr>
      <w:hyperlink w:anchor="_Toc341725535" w:history="1">
        <w:r w:rsidR="00C42DEB" w:rsidRPr="004B3FDF">
          <w:rPr>
            <w:rStyle w:val="Hipervnculo"/>
            <w:noProof/>
          </w:rPr>
          <w:t>19</w:t>
        </w:r>
        <w:r w:rsidR="00C42DEB">
          <w:rPr>
            <w:rFonts w:ascii="Calibri" w:hAnsi="Calibri"/>
            <w:noProof/>
            <w:sz w:val="22"/>
            <w:szCs w:val="22"/>
          </w:rPr>
          <w:tab/>
        </w:r>
        <w:r w:rsidR="00C42DEB" w:rsidRPr="004B3FDF">
          <w:rPr>
            <w:rStyle w:val="Hipervnculo"/>
            <w:rFonts w:cs="Arial"/>
            <w:noProof/>
          </w:rPr>
          <w:t>Anemia.</w:t>
        </w:r>
        <w:r w:rsidR="00C42DEB">
          <w:rPr>
            <w:noProof/>
            <w:webHidden/>
          </w:rPr>
          <w:tab/>
        </w:r>
        <w:r>
          <w:rPr>
            <w:noProof/>
            <w:webHidden/>
          </w:rPr>
          <w:fldChar w:fldCharType="begin"/>
        </w:r>
        <w:r w:rsidR="00C42DEB">
          <w:rPr>
            <w:noProof/>
            <w:webHidden/>
          </w:rPr>
          <w:instrText xml:space="preserve"> PAGEREF _Toc341725535 \h </w:instrText>
        </w:r>
        <w:r>
          <w:rPr>
            <w:noProof/>
            <w:webHidden/>
          </w:rPr>
        </w:r>
        <w:r>
          <w:rPr>
            <w:noProof/>
            <w:webHidden/>
          </w:rPr>
          <w:fldChar w:fldCharType="separate"/>
        </w:r>
        <w:r w:rsidR="00852CBE">
          <w:rPr>
            <w:noProof/>
            <w:webHidden/>
          </w:rPr>
          <w:t>34</w:t>
        </w:r>
        <w:r>
          <w:rPr>
            <w:noProof/>
            <w:webHidden/>
          </w:rPr>
          <w:fldChar w:fldCharType="end"/>
        </w:r>
      </w:hyperlink>
    </w:p>
    <w:p w:rsidR="00C42DEB" w:rsidRDefault="00936BE3">
      <w:pPr>
        <w:pStyle w:val="TDC2"/>
        <w:rPr>
          <w:rFonts w:ascii="Calibri" w:hAnsi="Calibri"/>
          <w:noProof/>
          <w:sz w:val="22"/>
          <w:szCs w:val="22"/>
        </w:rPr>
      </w:pPr>
      <w:hyperlink w:anchor="_Toc341725536" w:history="1">
        <w:r w:rsidR="00C42DEB" w:rsidRPr="004B3FDF">
          <w:rPr>
            <w:rStyle w:val="Hipervnculo"/>
            <w:noProof/>
          </w:rPr>
          <w:t>20</w:t>
        </w:r>
        <w:r w:rsidR="00C42DEB">
          <w:rPr>
            <w:rFonts w:ascii="Calibri" w:hAnsi="Calibri"/>
            <w:noProof/>
            <w:sz w:val="22"/>
            <w:szCs w:val="22"/>
          </w:rPr>
          <w:tab/>
        </w:r>
        <w:r w:rsidR="00C42DEB" w:rsidRPr="004B3FDF">
          <w:rPr>
            <w:rStyle w:val="Hipervnculo"/>
            <w:rFonts w:cs="Arial"/>
            <w:noProof/>
          </w:rPr>
          <w:t>Diagnóstico de la anemia, evaluación y criterios para la administración de hierro y AEE.</w:t>
        </w:r>
        <w:r w:rsidR="00C42DEB">
          <w:rPr>
            <w:noProof/>
            <w:webHidden/>
          </w:rPr>
          <w:tab/>
        </w:r>
        <w:r>
          <w:rPr>
            <w:noProof/>
            <w:webHidden/>
          </w:rPr>
          <w:fldChar w:fldCharType="begin"/>
        </w:r>
        <w:r w:rsidR="00C42DEB">
          <w:rPr>
            <w:noProof/>
            <w:webHidden/>
          </w:rPr>
          <w:instrText xml:space="preserve"> PAGEREF _Toc341725536 \h </w:instrText>
        </w:r>
        <w:r>
          <w:rPr>
            <w:noProof/>
            <w:webHidden/>
          </w:rPr>
        </w:r>
        <w:r>
          <w:rPr>
            <w:noProof/>
            <w:webHidden/>
          </w:rPr>
          <w:fldChar w:fldCharType="separate"/>
        </w:r>
        <w:r w:rsidR="00852CBE">
          <w:rPr>
            <w:noProof/>
            <w:webHidden/>
          </w:rPr>
          <w:t>34</w:t>
        </w:r>
        <w:r>
          <w:rPr>
            <w:noProof/>
            <w:webHidden/>
          </w:rPr>
          <w:fldChar w:fldCharType="end"/>
        </w:r>
      </w:hyperlink>
    </w:p>
    <w:p w:rsidR="00C42DEB" w:rsidRDefault="00936BE3">
      <w:pPr>
        <w:pStyle w:val="TDC2"/>
        <w:rPr>
          <w:rFonts w:ascii="Calibri" w:hAnsi="Calibri"/>
          <w:noProof/>
          <w:sz w:val="22"/>
          <w:szCs w:val="22"/>
        </w:rPr>
      </w:pPr>
      <w:hyperlink w:anchor="_Toc341725537" w:history="1">
        <w:r w:rsidR="00C42DEB" w:rsidRPr="004B3FDF">
          <w:rPr>
            <w:rStyle w:val="Hipervnculo"/>
            <w:noProof/>
          </w:rPr>
          <w:t>21</w:t>
        </w:r>
        <w:r w:rsidR="00C42DEB">
          <w:rPr>
            <w:rFonts w:ascii="Calibri" w:hAnsi="Calibri"/>
            <w:noProof/>
            <w:sz w:val="22"/>
            <w:szCs w:val="22"/>
          </w:rPr>
          <w:tab/>
        </w:r>
        <w:r w:rsidR="00C42DEB" w:rsidRPr="004B3FDF">
          <w:rPr>
            <w:rStyle w:val="Hipervnculo"/>
            <w:rFonts w:cs="Arial"/>
            <w:noProof/>
          </w:rPr>
          <w:t>Detección de las alteraciones del metabolismo óseo mineral.</w:t>
        </w:r>
        <w:r w:rsidR="00C42DEB">
          <w:rPr>
            <w:noProof/>
            <w:webHidden/>
          </w:rPr>
          <w:tab/>
        </w:r>
        <w:r>
          <w:rPr>
            <w:noProof/>
            <w:webHidden/>
          </w:rPr>
          <w:fldChar w:fldCharType="begin"/>
        </w:r>
        <w:r w:rsidR="00C42DEB">
          <w:rPr>
            <w:noProof/>
            <w:webHidden/>
          </w:rPr>
          <w:instrText xml:space="preserve"> PAGEREF _Toc341725537 \h </w:instrText>
        </w:r>
        <w:r>
          <w:rPr>
            <w:noProof/>
            <w:webHidden/>
          </w:rPr>
        </w:r>
        <w:r>
          <w:rPr>
            <w:noProof/>
            <w:webHidden/>
          </w:rPr>
          <w:fldChar w:fldCharType="separate"/>
        </w:r>
        <w:r w:rsidR="00852CBE">
          <w:rPr>
            <w:noProof/>
            <w:webHidden/>
          </w:rPr>
          <w:t>37</w:t>
        </w:r>
        <w:r>
          <w:rPr>
            <w:noProof/>
            <w:webHidden/>
          </w:rPr>
          <w:fldChar w:fldCharType="end"/>
        </w:r>
      </w:hyperlink>
    </w:p>
    <w:p w:rsidR="00C42DEB" w:rsidRDefault="00936BE3">
      <w:pPr>
        <w:pStyle w:val="TDC2"/>
        <w:rPr>
          <w:rFonts w:ascii="Calibri" w:hAnsi="Calibri"/>
          <w:noProof/>
          <w:sz w:val="22"/>
          <w:szCs w:val="22"/>
        </w:rPr>
      </w:pPr>
      <w:hyperlink w:anchor="_Toc341725538" w:history="1">
        <w:r w:rsidR="00C42DEB" w:rsidRPr="004B3FDF">
          <w:rPr>
            <w:rStyle w:val="Hipervnculo"/>
            <w:noProof/>
          </w:rPr>
          <w:t>22</w:t>
        </w:r>
        <w:r w:rsidR="00C42DEB">
          <w:rPr>
            <w:rFonts w:ascii="Calibri" w:hAnsi="Calibri"/>
            <w:noProof/>
            <w:sz w:val="22"/>
            <w:szCs w:val="22"/>
          </w:rPr>
          <w:tab/>
        </w:r>
        <w:r w:rsidR="00C42DEB" w:rsidRPr="004B3FDF">
          <w:rPr>
            <w:rStyle w:val="Hipervnculo"/>
            <w:rFonts w:cs="Arial"/>
            <w:noProof/>
          </w:rPr>
          <w:t>Detección y tratamiento de la acidosis.</w:t>
        </w:r>
        <w:r w:rsidR="00C42DEB">
          <w:rPr>
            <w:noProof/>
            <w:webHidden/>
          </w:rPr>
          <w:tab/>
        </w:r>
        <w:r>
          <w:rPr>
            <w:noProof/>
            <w:webHidden/>
          </w:rPr>
          <w:fldChar w:fldCharType="begin"/>
        </w:r>
        <w:r w:rsidR="00C42DEB">
          <w:rPr>
            <w:noProof/>
            <w:webHidden/>
          </w:rPr>
          <w:instrText xml:space="preserve"> PAGEREF _Toc341725538 \h </w:instrText>
        </w:r>
        <w:r>
          <w:rPr>
            <w:noProof/>
            <w:webHidden/>
          </w:rPr>
        </w:r>
        <w:r>
          <w:rPr>
            <w:noProof/>
            <w:webHidden/>
          </w:rPr>
          <w:fldChar w:fldCharType="separate"/>
        </w:r>
        <w:r w:rsidR="00852CBE">
          <w:rPr>
            <w:noProof/>
            <w:webHidden/>
          </w:rPr>
          <w:t>39</w:t>
        </w:r>
        <w:r>
          <w:rPr>
            <w:noProof/>
            <w:webHidden/>
          </w:rPr>
          <w:fldChar w:fldCharType="end"/>
        </w:r>
      </w:hyperlink>
    </w:p>
    <w:p w:rsidR="00C42DEB" w:rsidRDefault="00936BE3">
      <w:pPr>
        <w:pStyle w:val="TDC2"/>
        <w:rPr>
          <w:rFonts w:ascii="Calibri" w:hAnsi="Calibri"/>
          <w:noProof/>
          <w:sz w:val="22"/>
          <w:szCs w:val="22"/>
        </w:rPr>
      </w:pPr>
      <w:hyperlink w:anchor="_Toc341725539" w:history="1">
        <w:r w:rsidR="00C42DEB" w:rsidRPr="004B3FDF">
          <w:rPr>
            <w:rStyle w:val="Hipervnculo"/>
            <w:noProof/>
          </w:rPr>
          <w:t>23</w:t>
        </w:r>
        <w:r w:rsidR="00C42DEB">
          <w:rPr>
            <w:rFonts w:ascii="Calibri" w:hAnsi="Calibri"/>
            <w:noProof/>
            <w:sz w:val="22"/>
            <w:szCs w:val="22"/>
          </w:rPr>
          <w:tab/>
        </w:r>
        <w:r w:rsidR="00C42DEB" w:rsidRPr="004B3FDF">
          <w:rPr>
            <w:rStyle w:val="Hipervnculo"/>
            <w:rFonts w:cs="Arial"/>
            <w:noProof/>
          </w:rPr>
          <w:t>Recomendaciones dietéticas en el paciente con ERC 3-5.</w:t>
        </w:r>
        <w:r w:rsidR="00C42DEB">
          <w:rPr>
            <w:noProof/>
            <w:webHidden/>
          </w:rPr>
          <w:tab/>
        </w:r>
        <w:r>
          <w:rPr>
            <w:noProof/>
            <w:webHidden/>
          </w:rPr>
          <w:fldChar w:fldCharType="begin"/>
        </w:r>
        <w:r w:rsidR="00C42DEB">
          <w:rPr>
            <w:noProof/>
            <w:webHidden/>
          </w:rPr>
          <w:instrText xml:space="preserve"> PAGEREF _Toc341725539 \h </w:instrText>
        </w:r>
        <w:r>
          <w:rPr>
            <w:noProof/>
            <w:webHidden/>
          </w:rPr>
        </w:r>
        <w:r>
          <w:rPr>
            <w:noProof/>
            <w:webHidden/>
          </w:rPr>
          <w:fldChar w:fldCharType="separate"/>
        </w:r>
        <w:r w:rsidR="00852CBE">
          <w:rPr>
            <w:noProof/>
            <w:webHidden/>
          </w:rPr>
          <w:t>39</w:t>
        </w:r>
        <w:r>
          <w:rPr>
            <w:noProof/>
            <w:webHidden/>
          </w:rPr>
          <w:fldChar w:fldCharType="end"/>
        </w:r>
      </w:hyperlink>
    </w:p>
    <w:p w:rsidR="00C42DEB" w:rsidRDefault="00936BE3">
      <w:pPr>
        <w:pStyle w:val="TDC2"/>
        <w:rPr>
          <w:rFonts w:ascii="Calibri" w:hAnsi="Calibri"/>
          <w:noProof/>
          <w:sz w:val="22"/>
          <w:szCs w:val="22"/>
        </w:rPr>
      </w:pPr>
      <w:hyperlink w:anchor="_Toc341725540" w:history="1">
        <w:r w:rsidR="00C42DEB" w:rsidRPr="004B3FDF">
          <w:rPr>
            <w:rStyle w:val="Hipervnculo"/>
            <w:noProof/>
          </w:rPr>
          <w:t>24</w:t>
        </w:r>
        <w:r w:rsidR="00C42DEB">
          <w:rPr>
            <w:rFonts w:ascii="Calibri" w:hAnsi="Calibri"/>
            <w:noProof/>
            <w:sz w:val="22"/>
            <w:szCs w:val="22"/>
          </w:rPr>
          <w:tab/>
        </w:r>
        <w:r w:rsidR="00C42DEB" w:rsidRPr="004B3FDF">
          <w:rPr>
            <w:rStyle w:val="Hipervnculo"/>
            <w:rFonts w:cs="Arial"/>
            <w:noProof/>
          </w:rPr>
          <w:t>Otras actitudes.</w:t>
        </w:r>
        <w:r w:rsidR="00C42DEB">
          <w:rPr>
            <w:noProof/>
            <w:webHidden/>
          </w:rPr>
          <w:tab/>
        </w:r>
        <w:r>
          <w:rPr>
            <w:noProof/>
            <w:webHidden/>
          </w:rPr>
          <w:fldChar w:fldCharType="begin"/>
        </w:r>
        <w:r w:rsidR="00C42DEB">
          <w:rPr>
            <w:noProof/>
            <w:webHidden/>
          </w:rPr>
          <w:instrText xml:space="preserve"> PAGEREF _Toc341725540 \h </w:instrText>
        </w:r>
        <w:r>
          <w:rPr>
            <w:noProof/>
            <w:webHidden/>
          </w:rPr>
        </w:r>
        <w:r>
          <w:rPr>
            <w:noProof/>
            <w:webHidden/>
          </w:rPr>
          <w:fldChar w:fldCharType="separate"/>
        </w:r>
        <w:r w:rsidR="00852CBE">
          <w:rPr>
            <w:noProof/>
            <w:webHidden/>
          </w:rPr>
          <w:t>40</w:t>
        </w:r>
        <w:r>
          <w:rPr>
            <w:noProof/>
            <w:webHidden/>
          </w:rPr>
          <w:fldChar w:fldCharType="end"/>
        </w:r>
      </w:hyperlink>
    </w:p>
    <w:p w:rsidR="00C42DEB" w:rsidRDefault="00936BE3" w:rsidP="003C69E7">
      <w:pPr>
        <w:rPr>
          <w:sz w:val="20"/>
          <w:szCs w:val="20"/>
        </w:rPr>
      </w:pPr>
      <w:r>
        <w:rPr>
          <w:szCs w:val="20"/>
        </w:rPr>
        <w:fldChar w:fldCharType="end"/>
      </w:r>
    </w:p>
    <w:p w:rsidR="00C42DEB" w:rsidRPr="003C69E7" w:rsidRDefault="00C42DEB" w:rsidP="003C69E7">
      <w:pPr>
        <w:rPr>
          <w:sz w:val="20"/>
          <w:szCs w:val="20"/>
        </w:rPr>
      </w:pPr>
    </w:p>
    <w:p w:rsidR="00C42DEB" w:rsidRPr="003C69E7" w:rsidRDefault="00C42DEB" w:rsidP="003C69E7">
      <w:pPr>
        <w:rPr>
          <w:sz w:val="20"/>
          <w:szCs w:val="20"/>
        </w:rPr>
      </w:pPr>
    </w:p>
    <w:p w:rsidR="00C42DEB" w:rsidRDefault="00C42DEB" w:rsidP="003C69E7">
      <w:pPr>
        <w:rPr>
          <w:sz w:val="20"/>
          <w:szCs w:val="20"/>
        </w:rPr>
        <w:sectPr w:rsidR="00C42DEB" w:rsidSect="00470998">
          <w:endnotePr>
            <w:numFmt w:val="decimal"/>
          </w:endnotePr>
          <w:pgSz w:w="11906" w:h="16838" w:code="9"/>
          <w:pgMar w:top="1390" w:right="424" w:bottom="1418" w:left="851" w:header="284" w:footer="720" w:gutter="0"/>
          <w:cols w:space="708"/>
          <w:docGrid w:linePitch="326"/>
        </w:sectPr>
      </w:pPr>
    </w:p>
    <w:p w:rsidR="00C42DEB" w:rsidRDefault="00C42DEB" w:rsidP="00A52A0D">
      <w:pPr>
        <w:spacing w:before="120" w:after="120"/>
        <w:rPr>
          <w:rFonts w:cs="Arial"/>
          <w:b/>
          <w:sz w:val="20"/>
          <w:szCs w:val="20"/>
          <w:u w:val="single"/>
        </w:rPr>
      </w:pPr>
    </w:p>
    <w:p w:rsidR="00C42DEB" w:rsidRDefault="00C42DEB" w:rsidP="0058284F">
      <w:pPr>
        <w:spacing w:before="120" w:after="120"/>
        <w:jc w:val="center"/>
        <w:rPr>
          <w:rFonts w:cs="Arial"/>
          <w:b/>
          <w:sz w:val="20"/>
          <w:szCs w:val="20"/>
          <w:u w:val="single"/>
        </w:rPr>
      </w:pPr>
      <w:r>
        <w:rPr>
          <w:rFonts w:cs="Arial"/>
          <w:b/>
          <w:sz w:val="20"/>
          <w:szCs w:val="20"/>
          <w:u w:val="single"/>
        </w:rPr>
        <w:t>INTRODUCCIÓN</w:t>
      </w:r>
    </w:p>
    <w:p w:rsidR="00C42DEB" w:rsidRPr="00DC40E1" w:rsidRDefault="00C42DEB" w:rsidP="00A52A0D">
      <w:pPr>
        <w:spacing w:before="120" w:after="120"/>
        <w:rPr>
          <w:rFonts w:cs="Arial"/>
          <w:sz w:val="20"/>
          <w:szCs w:val="20"/>
        </w:rPr>
      </w:pPr>
    </w:p>
    <w:p w:rsidR="00C42DEB" w:rsidRPr="003F1941" w:rsidRDefault="00C42DEB" w:rsidP="00E17F56">
      <w:pPr>
        <w:spacing w:before="120" w:after="120"/>
        <w:rPr>
          <w:rFonts w:cs="Arial"/>
          <w:sz w:val="20"/>
          <w:szCs w:val="20"/>
        </w:rPr>
      </w:pPr>
      <w:r w:rsidRPr="003F1941">
        <w:rPr>
          <w:rFonts w:cs="Arial"/>
          <w:sz w:val="20"/>
          <w:szCs w:val="20"/>
        </w:rPr>
        <w:t xml:space="preserve">La enfermedad renal crónica (ERC), al igual que otras enfermedades crónicas con gran prevalencia como la hipertensión arterial (HTA) y la diabetes mellitus (DM), son claros ejemplos de la necesidad de unificación de criterios y coordinación entre los diversos profesionales implicados en su atención, desde el laboratorio clínico pasando por la atención primaria hasta la atención especializada. </w:t>
      </w:r>
    </w:p>
    <w:p w:rsidR="00C42DEB" w:rsidRPr="003F1941" w:rsidRDefault="00C42DEB" w:rsidP="00E17F56">
      <w:pPr>
        <w:spacing w:before="120" w:after="120"/>
        <w:rPr>
          <w:rFonts w:cs="Arial"/>
          <w:sz w:val="20"/>
          <w:szCs w:val="20"/>
        </w:rPr>
      </w:pPr>
      <w:r w:rsidRPr="003F1941">
        <w:rPr>
          <w:rFonts w:cs="Arial"/>
          <w:sz w:val="20"/>
          <w:szCs w:val="20"/>
        </w:rPr>
        <w:t xml:space="preserve">Durante la última década, el reconocimiento de </w:t>
      </w:r>
      <w:smartTag w:uri="urn:schemas-microsoft-com:office:smarttags" w:element="PersonName">
        <w:smartTagPr>
          <w:attr w:name="ProductID" w:val="la ERC"/>
        </w:smartTagPr>
        <w:r w:rsidRPr="003F1941">
          <w:rPr>
            <w:rFonts w:cs="Arial"/>
            <w:sz w:val="20"/>
            <w:szCs w:val="20"/>
          </w:rPr>
          <w:t>la ERC</w:t>
        </w:r>
      </w:smartTag>
      <w:r w:rsidRPr="003F1941">
        <w:rPr>
          <w:rFonts w:cs="Arial"/>
          <w:sz w:val="20"/>
          <w:szCs w:val="20"/>
        </w:rPr>
        <w:t xml:space="preserve"> ha permitido a </w:t>
      </w:r>
      <w:smartTag w:uri="urn:schemas-microsoft-com:office:smarttags" w:element="PersonName">
        <w:smartTagPr>
          <w:attr w:name="ProductID" w:val="la Nefrolog￭a"/>
        </w:smartTagPr>
        <w:r w:rsidRPr="003F1941">
          <w:rPr>
            <w:rFonts w:cs="Arial"/>
            <w:sz w:val="20"/>
            <w:szCs w:val="20"/>
          </w:rPr>
          <w:t>la Nefrología</w:t>
        </w:r>
      </w:smartTag>
      <w:r w:rsidRPr="003F1941">
        <w:rPr>
          <w:rFonts w:cs="Arial"/>
          <w:sz w:val="20"/>
          <w:szCs w:val="20"/>
        </w:rPr>
        <w:t xml:space="preserve"> trascender de una especialidad que atendía patologías de baja incidencia-prevalencia como las enfermedades nefrológicas clásicas (glomerulonefritis, síndrome nefrótico) y que en sus estadios avanzados precisaban de tratamiento sustitutivo (diálisis o trasplante renal) a centralizar un importante problema de Salud Pública asociado a una mortalidad prematura (especialmente de origen cardiovascular) con importantes implicaciones sociales y económicas. Todo ello ha hecho aconsejable no sólo su diagnóstico y detección precoz, posible por pruebas habituales de laboratorio, sino también aumentar su grado de conocimiento y coordinación transversal interespecialidades y entre distintos niveles asistenciales.</w:t>
      </w:r>
    </w:p>
    <w:p w:rsidR="00C42DEB" w:rsidRPr="003F1941" w:rsidRDefault="00C42DEB" w:rsidP="00E17F56">
      <w:pPr>
        <w:spacing w:before="120" w:after="120"/>
        <w:rPr>
          <w:rFonts w:cs="Arial"/>
          <w:sz w:val="20"/>
          <w:szCs w:val="20"/>
        </w:rPr>
      </w:pPr>
      <w:r w:rsidRPr="003F1941">
        <w:rPr>
          <w:rFonts w:cs="Arial"/>
          <w:sz w:val="20"/>
          <w:szCs w:val="20"/>
        </w:rPr>
        <w:t xml:space="preserve">La comprensión de su modelo conceptual, de sus criterios diagnósticos y clasificación en estadios, la identificación de los factores pronósticos, el establecimiento de directrices que mejoren el flujo y la instauración de criterios claros de derivación, son elementos clave en la atención integral de estos pacientes. Es necesario tener en cuenta que se trata de una enfermedad generalmente de fácil reconocimiento (aunque el diagnóstico clínico de la causa o la alteración intrínseca patológica muchas veces no está claramente establecido) y que existen algunos tratamientos que pueden prevenir el desarrollo y enlentecer su progresión a estadios terminales. Asimismo es posible detectar y reducir las complicaciones sistémicas secundarias (anemia, hiperparatiroidismo secundario, enfermedad cardiovascular, insuficiencia renal aguda, infecciones, deterioro físico y cognitivo, etc.). </w:t>
      </w:r>
    </w:p>
    <w:p w:rsidR="00C42DEB" w:rsidRPr="003F1941" w:rsidRDefault="00C42DEB" w:rsidP="00E17F56">
      <w:pPr>
        <w:spacing w:before="120" w:after="120"/>
        <w:rPr>
          <w:rFonts w:cs="Arial"/>
          <w:sz w:val="20"/>
          <w:szCs w:val="20"/>
        </w:rPr>
      </w:pPr>
      <w:r w:rsidRPr="003F1941">
        <w:rPr>
          <w:rFonts w:cs="Arial"/>
          <w:sz w:val="20"/>
          <w:szCs w:val="20"/>
        </w:rPr>
        <w:t xml:space="preserve">Por todo ello, </w:t>
      </w:r>
      <w:smartTag w:uri="urn:schemas-microsoft-com:office:smarttags" w:element="PersonName">
        <w:smartTagPr>
          <w:attr w:name="ProductID" w:val="la ERC"/>
        </w:smartTagPr>
        <w:r w:rsidRPr="003F1941">
          <w:rPr>
            <w:rFonts w:cs="Arial"/>
            <w:sz w:val="20"/>
            <w:szCs w:val="20"/>
          </w:rPr>
          <w:t>la ERC</w:t>
        </w:r>
      </w:smartTag>
      <w:r w:rsidRPr="003F1941">
        <w:rPr>
          <w:rFonts w:cs="Arial"/>
          <w:sz w:val="20"/>
          <w:szCs w:val="20"/>
        </w:rPr>
        <w:t xml:space="preserve"> se ha convertido en una patología que ha pasado de ser una enfermedad grave que afectaba a pocos individuos y que debía ser atendida por nefrólogos, a una patología común de gravedad variable, que precisa de su conocimiento por otras especialidades y por las autoridades sanitarias.</w:t>
      </w:r>
    </w:p>
    <w:p w:rsidR="00C42DEB" w:rsidRPr="00DC40E1" w:rsidRDefault="00C42DEB" w:rsidP="00BA3ED8">
      <w:pPr>
        <w:spacing w:before="120" w:after="120"/>
        <w:rPr>
          <w:rFonts w:cs="Arial"/>
          <w:sz w:val="20"/>
          <w:szCs w:val="20"/>
        </w:rPr>
      </w:pPr>
    </w:p>
    <w:p w:rsidR="00C42DEB" w:rsidRDefault="00C42DEB" w:rsidP="00A52A0D">
      <w:pPr>
        <w:spacing w:before="120" w:after="120"/>
        <w:rPr>
          <w:rFonts w:cs="Arial"/>
          <w:b/>
          <w:sz w:val="20"/>
          <w:szCs w:val="20"/>
          <w:u w:val="single"/>
        </w:rPr>
      </w:pPr>
    </w:p>
    <w:p w:rsidR="00C42DEB" w:rsidRDefault="00C42DEB" w:rsidP="00A52A0D">
      <w:pPr>
        <w:spacing w:before="120" w:after="120"/>
        <w:rPr>
          <w:rFonts w:cs="Arial"/>
          <w:b/>
          <w:sz w:val="20"/>
          <w:szCs w:val="20"/>
          <w:u w:val="single"/>
        </w:rPr>
        <w:sectPr w:rsidR="00C42DEB" w:rsidSect="00DA188C">
          <w:endnotePr>
            <w:numFmt w:val="decimal"/>
          </w:endnotePr>
          <w:pgSz w:w="11906" w:h="16838" w:code="9"/>
          <w:pgMar w:top="1390" w:right="849" w:bottom="1418" w:left="851" w:header="284" w:footer="720" w:gutter="0"/>
          <w:cols w:space="708"/>
          <w:docGrid w:linePitch="326"/>
        </w:sectPr>
      </w:pPr>
    </w:p>
    <w:p w:rsidR="00C42DEB" w:rsidRPr="00EC1A8A" w:rsidRDefault="00C42DEB" w:rsidP="00A52A0D">
      <w:pPr>
        <w:spacing w:before="120" w:after="120"/>
        <w:rPr>
          <w:rFonts w:cs="Arial"/>
          <w:b/>
          <w:sz w:val="20"/>
          <w:szCs w:val="20"/>
          <w:u w:val="single"/>
        </w:rPr>
      </w:pPr>
    </w:p>
    <w:p w:rsidR="00C42DEB" w:rsidRPr="00215D7C" w:rsidRDefault="00C42DEB" w:rsidP="007E30EB">
      <w:pPr>
        <w:pStyle w:val="Ttulo2"/>
        <w:ind w:left="993" w:hanging="426"/>
        <w:rPr>
          <w:rFonts w:ascii="Arial" w:hAnsi="Arial" w:cs="Arial"/>
          <w:i w:val="0"/>
          <w:sz w:val="20"/>
          <w:szCs w:val="20"/>
        </w:rPr>
      </w:pPr>
      <w:bookmarkStart w:id="0" w:name="_Toc316486457"/>
      <w:bookmarkStart w:id="1" w:name="_Toc316486556"/>
      <w:bookmarkStart w:id="2" w:name="_Toc341725517"/>
      <w:bookmarkStart w:id="3" w:name="_Toc316486460"/>
      <w:bookmarkStart w:id="4" w:name="_Toc316486559"/>
      <w:r w:rsidRPr="00215D7C">
        <w:rPr>
          <w:rFonts w:ascii="Arial" w:hAnsi="Arial" w:cs="Arial"/>
          <w:i w:val="0"/>
          <w:sz w:val="20"/>
          <w:szCs w:val="20"/>
        </w:rPr>
        <w:t>Definición y epidemiología.</w:t>
      </w:r>
      <w:bookmarkEnd w:id="0"/>
      <w:bookmarkEnd w:id="1"/>
      <w:bookmarkEnd w:id="2"/>
    </w:p>
    <w:p w:rsidR="00E81B3D" w:rsidRDefault="00C42DEB" w:rsidP="007E30EB">
      <w:pPr>
        <w:spacing w:before="120" w:after="120"/>
        <w:ind w:left="993"/>
        <w:rPr>
          <w:sz w:val="20"/>
          <w:szCs w:val="20"/>
        </w:rPr>
      </w:pPr>
      <w:r w:rsidRPr="003F1941">
        <w:rPr>
          <w:sz w:val="20"/>
          <w:szCs w:val="20"/>
        </w:rPr>
        <w:t>La enfermedad renal crónica (ERC) es un término genérico que define un conjunto de enfermedades heterogéneas que afectan la estructura y función renal. La variabilidad de su expresión clínica es debida, al menos en parte, a su etiopatogenia, la estructura del riñón afectada (glomérulo, vasos, túbulos o intersticio renal), su severidad y el grado de progresión. E</w:t>
      </w:r>
      <w:r>
        <w:rPr>
          <w:sz w:val="20"/>
          <w:szCs w:val="20"/>
        </w:rPr>
        <w:t>n e</w:t>
      </w:r>
      <w:r w:rsidRPr="003F1941">
        <w:rPr>
          <w:sz w:val="20"/>
          <w:szCs w:val="20"/>
        </w:rPr>
        <w:t>l año 2002, la publicación de las guías K/DOQI (Kidney Disease Outcome Quality Initiative) por parte de la National Kidney Foundation (NKF) sobre definición, evaluación y clasificación de la ERC</w:t>
      </w:r>
      <w:bookmarkStart w:id="5" w:name="_Ref343104413"/>
      <w:bookmarkEnd w:id="3"/>
      <w:bookmarkEnd w:id="4"/>
      <w:r w:rsidR="00E81B3D" w:rsidRPr="003F1941">
        <w:rPr>
          <w:rStyle w:val="Refdenotaalfinal"/>
          <w:sz w:val="20"/>
          <w:szCs w:val="20"/>
        </w:rPr>
        <w:endnoteReference w:id="2"/>
      </w:r>
      <w:bookmarkEnd w:id="5"/>
      <w:r w:rsidR="00E81B3D">
        <w:rPr>
          <w:sz w:val="20"/>
          <w:szCs w:val="20"/>
        </w:rPr>
        <w:t xml:space="preserve"> </w:t>
      </w:r>
      <w:r w:rsidR="00E81B3D" w:rsidRPr="003F1941">
        <w:rPr>
          <w:sz w:val="20"/>
          <w:szCs w:val="20"/>
        </w:rPr>
        <w:t>supuso un paso importante en el reconocimiento de su importancia, tal y como ha sido mencionado anteriormente, promoviéndose por primera vez una clasificación basada en estadios de severidad, definidos por el filtrado glomerular (FG) además del diagnóstico clínico. Todas las guías posteriores incluyendo las próximas guías KDIGO 2012 (Kidney Disease Improving Global Outcomes)</w:t>
      </w:r>
      <w:bookmarkStart w:id="6" w:name="_Ref343104596"/>
      <w:r w:rsidR="00E81B3D" w:rsidRPr="003F1941">
        <w:rPr>
          <w:rStyle w:val="Refdenotaalfinal"/>
          <w:sz w:val="20"/>
          <w:szCs w:val="20"/>
        </w:rPr>
        <w:endnoteReference w:id="3"/>
      </w:r>
      <w:bookmarkStart w:id="7" w:name="_Ref343106567"/>
      <w:bookmarkEnd w:id="6"/>
      <w:r w:rsidR="00E81B3D">
        <w:rPr>
          <w:sz w:val="20"/>
          <w:szCs w:val="20"/>
        </w:rPr>
        <w:t xml:space="preserve"> </w:t>
      </w:r>
      <w:bookmarkStart w:id="8" w:name="_Ref343538261"/>
      <w:r w:rsidR="00E81B3D" w:rsidRPr="003F1941">
        <w:rPr>
          <w:rStyle w:val="Refdenotaalfinal"/>
          <w:sz w:val="20"/>
          <w:szCs w:val="20"/>
          <w:lang w:val="en-US"/>
        </w:rPr>
        <w:endnoteReference w:id="4"/>
      </w:r>
      <w:bookmarkEnd w:id="7"/>
      <w:bookmarkEnd w:id="8"/>
      <w:r w:rsidR="00E81B3D" w:rsidRPr="003F1941">
        <w:rPr>
          <w:sz w:val="20"/>
          <w:szCs w:val="20"/>
        </w:rPr>
        <w:t xml:space="preserve"> han confirmado la definición de ERC (independientemente del diagnóstico clínico) como la presencia durante al menos</w:t>
      </w:r>
      <w:r w:rsidR="00E81B3D" w:rsidRPr="006811C1">
        <w:rPr>
          <w:sz w:val="20"/>
          <w:szCs w:val="20"/>
        </w:rPr>
        <w:t xml:space="preserve"> </w:t>
      </w:r>
      <w:r w:rsidR="00E81B3D" w:rsidRPr="003B43B1">
        <w:rPr>
          <w:b/>
          <w:sz w:val="20"/>
          <w:szCs w:val="20"/>
        </w:rPr>
        <w:t>TRES MESES</w:t>
      </w:r>
      <w:r w:rsidR="00E81B3D" w:rsidRPr="006811C1">
        <w:rPr>
          <w:sz w:val="20"/>
          <w:szCs w:val="20"/>
        </w:rPr>
        <w:t xml:space="preserve"> de</w:t>
      </w:r>
      <w:r w:rsidR="00E81B3D">
        <w:rPr>
          <w:sz w:val="20"/>
          <w:szCs w:val="20"/>
        </w:rPr>
        <w:t>:</w:t>
      </w:r>
    </w:p>
    <w:p w:rsidR="00E81B3D" w:rsidRPr="002412ED" w:rsidRDefault="00E81B3D" w:rsidP="007E30EB">
      <w:pPr>
        <w:numPr>
          <w:ilvl w:val="0"/>
          <w:numId w:val="3"/>
        </w:numPr>
        <w:spacing w:before="120" w:after="120"/>
        <w:ind w:left="1560" w:hanging="284"/>
        <w:rPr>
          <w:rFonts w:cs="Arial"/>
          <w:b/>
          <w:sz w:val="20"/>
          <w:szCs w:val="20"/>
        </w:rPr>
      </w:pPr>
      <w:r>
        <w:rPr>
          <w:rFonts w:cs="Arial"/>
          <w:b/>
          <w:sz w:val="20"/>
          <w:szCs w:val="20"/>
        </w:rPr>
        <w:t>FG inferior a 60 ml/min/1,73 m</w:t>
      </w:r>
      <w:r w:rsidRPr="005B3F59">
        <w:rPr>
          <w:rFonts w:cs="Arial"/>
          <w:b/>
          <w:sz w:val="20"/>
          <w:szCs w:val="20"/>
          <w:vertAlign w:val="superscript"/>
        </w:rPr>
        <w:t>2</w:t>
      </w:r>
      <w:r>
        <w:rPr>
          <w:rFonts w:cs="Arial"/>
          <w:b/>
          <w:sz w:val="20"/>
          <w:szCs w:val="20"/>
        </w:rPr>
        <w:t>.</w:t>
      </w:r>
    </w:p>
    <w:p w:rsidR="00E81B3D" w:rsidRPr="003F1941" w:rsidRDefault="00E81B3D" w:rsidP="007E30EB">
      <w:pPr>
        <w:numPr>
          <w:ilvl w:val="0"/>
          <w:numId w:val="3"/>
        </w:numPr>
        <w:spacing w:before="120" w:after="120"/>
        <w:ind w:left="1560" w:hanging="284"/>
        <w:rPr>
          <w:rFonts w:cs="Arial"/>
          <w:sz w:val="20"/>
          <w:szCs w:val="20"/>
        </w:rPr>
      </w:pPr>
      <w:r>
        <w:rPr>
          <w:rFonts w:cs="Arial"/>
          <w:b/>
          <w:sz w:val="20"/>
          <w:szCs w:val="20"/>
        </w:rPr>
        <w:t xml:space="preserve"> o </w:t>
      </w:r>
      <w:r w:rsidRPr="002412ED">
        <w:rPr>
          <w:rFonts w:cs="Arial"/>
          <w:b/>
          <w:sz w:val="20"/>
          <w:szCs w:val="20"/>
        </w:rPr>
        <w:t>lesión renal</w:t>
      </w:r>
      <w:r w:rsidRPr="002412ED">
        <w:rPr>
          <w:rFonts w:cs="Arial"/>
          <w:sz w:val="20"/>
          <w:szCs w:val="20"/>
        </w:rPr>
        <w:t xml:space="preserve"> (definida por la presencia de anormalidades </w:t>
      </w:r>
      <w:r w:rsidRPr="006F7A3E">
        <w:rPr>
          <w:rFonts w:cs="Arial"/>
          <w:i/>
          <w:sz w:val="20"/>
          <w:szCs w:val="20"/>
        </w:rPr>
        <w:t>estructurales o funcionales</w:t>
      </w:r>
      <w:r w:rsidRPr="002412ED">
        <w:rPr>
          <w:rFonts w:cs="Arial"/>
          <w:sz w:val="20"/>
          <w:szCs w:val="20"/>
        </w:rPr>
        <w:t xml:space="preserve"> del riñón, que puedan provocar poten</w:t>
      </w:r>
      <w:r>
        <w:rPr>
          <w:rFonts w:cs="Arial"/>
          <w:sz w:val="20"/>
          <w:szCs w:val="20"/>
        </w:rPr>
        <w:t xml:space="preserve">cialmente un descenso del FG). </w:t>
      </w:r>
      <w:r w:rsidRPr="002412ED">
        <w:rPr>
          <w:rFonts w:cs="Arial"/>
          <w:sz w:val="20"/>
          <w:szCs w:val="20"/>
        </w:rPr>
        <w:t xml:space="preserve">La </w:t>
      </w:r>
      <w:r w:rsidRPr="006F7A3E">
        <w:rPr>
          <w:rFonts w:cs="Arial"/>
          <w:i/>
          <w:sz w:val="20"/>
          <w:szCs w:val="20"/>
        </w:rPr>
        <w:t>lesión renal</w:t>
      </w:r>
      <w:r w:rsidRPr="002412ED">
        <w:rPr>
          <w:rFonts w:cs="Arial"/>
          <w:sz w:val="20"/>
          <w:szCs w:val="20"/>
        </w:rPr>
        <w:t xml:space="preserve"> se </w:t>
      </w:r>
      <w:r>
        <w:rPr>
          <w:rFonts w:cs="Arial"/>
          <w:sz w:val="20"/>
          <w:szCs w:val="20"/>
        </w:rPr>
        <w:t>pone</w:t>
      </w:r>
      <w:r w:rsidRPr="002412ED">
        <w:rPr>
          <w:rFonts w:cs="Arial"/>
          <w:sz w:val="20"/>
          <w:szCs w:val="20"/>
        </w:rPr>
        <w:t xml:space="preserve"> de manifiesto directamente a partir de alteraciones histológicas en la biopsia renal (enfermedades glomerulares, </w:t>
      </w:r>
      <w:r w:rsidRPr="003F1941">
        <w:rPr>
          <w:rFonts w:cs="Arial"/>
          <w:sz w:val="20"/>
          <w:szCs w:val="20"/>
        </w:rPr>
        <w:t xml:space="preserve">vasculares, túbulo-intersticiales) o indirectamente por la presencia de </w:t>
      </w:r>
      <w:r w:rsidRPr="006F7A3E">
        <w:rPr>
          <w:rFonts w:cs="Arial"/>
          <w:i/>
          <w:sz w:val="20"/>
          <w:szCs w:val="20"/>
        </w:rPr>
        <w:t>albuminuria</w:t>
      </w:r>
      <w:r w:rsidRPr="003F1941">
        <w:rPr>
          <w:rFonts w:cs="Arial"/>
          <w:sz w:val="20"/>
          <w:szCs w:val="20"/>
        </w:rPr>
        <w:t xml:space="preserve">, alteraciones en el </w:t>
      </w:r>
      <w:r w:rsidRPr="006F7A3E">
        <w:rPr>
          <w:rFonts w:cs="Arial"/>
          <w:i/>
          <w:sz w:val="20"/>
          <w:szCs w:val="20"/>
        </w:rPr>
        <w:t>sedimento urinario</w:t>
      </w:r>
      <w:r w:rsidRPr="003F1941">
        <w:rPr>
          <w:rFonts w:cs="Arial"/>
          <w:sz w:val="20"/>
          <w:szCs w:val="20"/>
        </w:rPr>
        <w:t xml:space="preserve">, alteraciones hidroelectrolíticas o de otro tipo secundarias a patología tubular o a través de técnicas de </w:t>
      </w:r>
      <w:r w:rsidRPr="006F7A3E">
        <w:rPr>
          <w:rFonts w:cs="Arial"/>
          <w:i/>
          <w:sz w:val="20"/>
          <w:szCs w:val="20"/>
        </w:rPr>
        <w:t>imagen</w:t>
      </w:r>
      <w:r w:rsidRPr="003F1941">
        <w:rPr>
          <w:rFonts w:cs="Arial"/>
          <w:sz w:val="20"/>
          <w:szCs w:val="20"/>
        </w:rPr>
        <w:t>.</w:t>
      </w:r>
    </w:p>
    <w:p w:rsidR="00E81B3D" w:rsidRDefault="00E81B3D" w:rsidP="007E30EB">
      <w:pPr>
        <w:spacing w:before="120" w:after="120"/>
        <w:ind w:left="993"/>
        <w:rPr>
          <w:rFonts w:cs="Arial"/>
          <w:sz w:val="20"/>
          <w:szCs w:val="20"/>
        </w:rPr>
      </w:pPr>
      <w:r w:rsidRPr="008F23A3">
        <w:rPr>
          <w:sz w:val="20"/>
          <w:szCs w:val="20"/>
        </w:rPr>
        <w:t xml:space="preserve">La duración es importante para distinguir </w:t>
      </w:r>
      <w:smartTag w:uri="urn:schemas-microsoft-com:office:smarttags" w:element="PersonName">
        <w:smartTagPr>
          <w:attr w:name="ProductID" w:val="la Morena"/>
        </w:smartTagPr>
        <w:r w:rsidRPr="008F23A3">
          <w:rPr>
            <w:sz w:val="20"/>
            <w:szCs w:val="20"/>
          </w:rPr>
          <w:t>la ERC</w:t>
        </w:r>
      </w:smartTag>
      <w:r w:rsidRPr="008F23A3">
        <w:rPr>
          <w:sz w:val="20"/>
          <w:szCs w:val="20"/>
        </w:rPr>
        <w:t xml:space="preserve"> de la patología aguda. Esta definición ha sido aceptada por diversas sociedades científicas (no sólo nefrológicas) y es independiente de la edad, aunque </w:t>
      </w:r>
      <w:r>
        <w:rPr>
          <w:sz w:val="20"/>
          <w:szCs w:val="20"/>
        </w:rPr>
        <w:t>ésta</w:t>
      </w:r>
      <w:r w:rsidRPr="008F23A3">
        <w:rPr>
          <w:sz w:val="20"/>
          <w:szCs w:val="20"/>
        </w:rPr>
        <w:t xml:space="preserve"> puede </w:t>
      </w:r>
      <w:r>
        <w:rPr>
          <w:sz w:val="20"/>
          <w:szCs w:val="20"/>
        </w:rPr>
        <w:t>determinar</w:t>
      </w:r>
      <w:r w:rsidRPr="008F23A3">
        <w:rPr>
          <w:sz w:val="20"/>
          <w:szCs w:val="20"/>
        </w:rPr>
        <w:t xml:space="preserve"> la necesidad o no de asistencia personalizada o la relativa urgencia de la misma.</w:t>
      </w:r>
    </w:p>
    <w:p w:rsidR="00E81B3D" w:rsidRPr="003F1941" w:rsidRDefault="00E81B3D" w:rsidP="007E30EB">
      <w:pPr>
        <w:spacing w:before="120" w:after="120"/>
        <w:ind w:left="993"/>
        <w:rPr>
          <w:rFonts w:cs="Arial"/>
          <w:sz w:val="20"/>
          <w:szCs w:val="20"/>
        </w:rPr>
      </w:pPr>
      <w:smartTag w:uri="urn:schemas-microsoft-com:office:smarttags" w:element="PersonName">
        <w:smartTagPr>
          <w:attr w:name="ProductID" w:val="la Morena"/>
        </w:smartTagPr>
        <w:r w:rsidRPr="003F1941">
          <w:rPr>
            <w:rFonts w:cs="Arial"/>
            <w:sz w:val="20"/>
            <w:szCs w:val="20"/>
          </w:rPr>
          <w:t>La ERC</w:t>
        </w:r>
      </w:smartTag>
      <w:r w:rsidRPr="003F1941">
        <w:rPr>
          <w:rFonts w:cs="Arial"/>
          <w:sz w:val="20"/>
          <w:szCs w:val="20"/>
        </w:rPr>
        <w:t xml:space="preserve"> es un problema emergente en todo el mundo. En España, según los resultados del estudio EPIRCE (Epidemiología de </w:t>
      </w:r>
      <w:smartTag w:uri="urn:schemas-microsoft-com:office:smarttags" w:element="PersonName">
        <w:smartTagPr>
          <w:attr w:name="ProductID" w:val="la Morena"/>
        </w:smartTagPr>
        <w:r w:rsidRPr="003F1941">
          <w:rPr>
            <w:rFonts w:cs="Arial"/>
            <w:sz w:val="20"/>
            <w:szCs w:val="20"/>
          </w:rPr>
          <w:t>la Insuficiencia Renal</w:t>
        </w:r>
      </w:smartTag>
      <w:r w:rsidRPr="003F1941">
        <w:rPr>
          <w:rFonts w:cs="Arial"/>
          <w:sz w:val="20"/>
          <w:szCs w:val="20"/>
        </w:rPr>
        <w:t xml:space="preserve"> Crónica en España) diseñado para conocer la prevalencia de </w:t>
      </w:r>
      <w:smartTag w:uri="urn:schemas-microsoft-com:office:smarttags" w:element="PersonName">
        <w:smartTagPr>
          <w:attr w:name="ProductID" w:val="la Morena"/>
        </w:smartTagPr>
        <w:r w:rsidRPr="003F1941">
          <w:rPr>
            <w:rFonts w:cs="Arial"/>
            <w:sz w:val="20"/>
            <w:szCs w:val="20"/>
          </w:rPr>
          <w:t>la ERC</w:t>
        </w:r>
      </w:smartTag>
      <w:r w:rsidRPr="003F1941">
        <w:rPr>
          <w:rFonts w:cs="Arial"/>
          <w:sz w:val="20"/>
          <w:szCs w:val="20"/>
        </w:rPr>
        <w:t xml:space="preserve"> en nuestro país y promovido por </w:t>
      </w:r>
      <w:smartTag w:uri="urn:schemas-microsoft-com:office:smarttags" w:element="PersonName">
        <w:smartTagPr>
          <w:attr w:name="ProductID" w:val="la Morena"/>
        </w:smartTagPr>
        <w:r w:rsidRPr="003F1941">
          <w:rPr>
            <w:rFonts w:cs="Arial"/>
            <w:sz w:val="20"/>
            <w:szCs w:val="20"/>
          </w:rPr>
          <w:t>la Sociedad Española</w:t>
        </w:r>
      </w:smartTag>
      <w:r w:rsidRPr="003F1941">
        <w:rPr>
          <w:rFonts w:cs="Arial"/>
          <w:sz w:val="20"/>
          <w:szCs w:val="20"/>
        </w:rPr>
        <w:t xml:space="preserve"> de Nefrología (SEN) con el apoyo del Ministerio de Sanidad y Consumo, se estimó que aproximadamente el 10% de la población adulta sufría de algún grado de ERC</w:t>
      </w:r>
      <w:r w:rsidRPr="003F1941">
        <w:rPr>
          <w:rStyle w:val="Refdenotaalfinal"/>
          <w:sz w:val="20"/>
          <w:szCs w:val="20"/>
        </w:rPr>
        <w:endnoteReference w:id="5"/>
      </w:r>
      <w:r w:rsidRPr="003F1941">
        <w:rPr>
          <w:rFonts w:cs="Arial"/>
          <w:sz w:val="20"/>
          <w:szCs w:val="20"/>
        </w:rPr>
        <w:t>, siendo del 6,8% para los estadios 3-5 aunque existían diferencias importantes con la edad (3,3% entre 40-64 años y 21,4% para mayores de 64 años). Estos datos fueron obtenidos a partir de la medición centralizada de la concentración de creatinina sérica en una muestra significativa aleatoria y estratificada de la población española mayor de 20 años y a partir de la estimación del FG por la fórmula MDRD (del estudio Modification of Diet in Renal Disease)</w:t>
      </w:r>
      <w:r w:rsidRPr="003F1941">
        <w:rPr>
          <w:rStyle w:val="Refdenotaalfinal"/>
          <w:sz w:val="20"/>
          <w:szCs w:val="20"/>
        </w:rPr>
        <w:endnoteReference w:id="6"/>
      </w:r>
      <w:r w:rsidRPr="003F1941">
        <w:rPr>
          <w:rFonts w:cs="Arial"/>
          <w:sz w:val="20"/>
          <w:szCs w:val="20"/>
        </w:rPr>
        <w:t>. En concreto, 5.4% de la población tenía un FG entre 45-59 ml/min/1,73m</w:t>
      </w:r>
      <w:r w:rsidRPr="003F1941">
        <w:rPr>
          <w:rFonts w:cs="Arial"/>
          <w:sz w:val="20"/>
          <w:szCs w:val="20"/>
          <w:vertAlign w:val="superscript"/>
        </w:rPr>
        <w:t>2</w:t>
      </w:r>
      <w:r w:rsidRPr="003F1941">
        <w:rPr>
          <w:rFonts w:cs="Arial"/>
          <w:sz w:val="20"/>
          <w:szCs w:val="20"/>
        </w:rPr>
        <w:t xml:space="preserve"> (estadio 3A); 1.1% entre 30-44 ml/min/1,73m</w:t>
      </w:r>
      <w:r w:rsidRPr="003F1941">
        <w:rPr>
          <w:rFonts w:cs="Arial"/>
          <w:sz w:val="20"/>
          <w:szCs w:val="20"/>
          <w:vertAlign w:val="superscript"/>
        </w:rPr>
        <w:t>2</w:t>
      </w:r>
      <w:r w:rsidRPr="003F1941">
        <w:rPr>
          <w:rFonts w:cs="Arial"/>
          <w:sz w:val="20"/>
          <w:szCs w:val="20"/>
        </w:rPr>
        <w:t xml:space="preserve"> (estadio 3B); 0.27% entre 15-29 ml/min/1,73m</w:t>
      </w:r>
      <w:r w:rsidRPr="003F1941">
        <w:rPr>
          <w:rFonts w:cs="Arial"/>
          <w:sz w:val="20"/>
          <w:szCs w:val="20"/>
          <w:vertAlign w:val="superscript"/>
        </w:rPr>
        <w:t>2</w:t>
      </w:r>
      <w:r w:rsidRPr="003F1941">
        <w:rPr>
          <w:rFonts w:cs="Arial"/>
          <w:sz w:val="20"/>
          <w:szCs w:val="20"/>
        </w:rPr>
        <w:t xml:space="preserve"> (estadio 4) y un 0,03% tenían un FG menor de 15 ml/min/1,73m</w:t>
      </w:r>
      <w:r w:rsidRPr="003F1941">
        <w:rPr>
          <w:rFonts w:cs="Arial"/>
          <w:sz w:val="20"/>
          <w:szCs w:val="20"/>
          <w:vertAlign w:val="superscript"/>
        </w:rPr>
        <w:t>2</w:t>
      </w:r>
      <w:r w:rsidRPr="003F1941">
        <w:rPr>
          <w:rFonts w:cs="Arial"/>
          <w:sz w:val="20"/>
          <w:szCs w:val="20"/>
        </w:rPr>
        <w:t xml:space="preserve"> (estadio 5). En pacientes seguidos en atención primaria con enfermedades tan frecuentes como la HTA o DM, la prevalencia de ERC puede alcanzar cifras del 35-40% </w:t>
      </w:r>
      <w:bookmarkStart w:id="9" w:name="_Ref343105053"/>
      <w:r w:rsidRPr="003F1941">
        <w:rPr>
          <w:rStyle w:val="Refdenotaalfinal"/>
          <w:sz w:val="20"/>
          <w:szCs w:val="20"/>
        </w:rPr>
        <w:endnoteReference w:id="7"/>
      </w:r>
      <w:bookmarkEnd w:id="9"/>
      <w:r w:rsidRPr="003F1941">
        <w:rPr>
          <w:rFonts w:cs="Arial"/>
          <w:sz w:val="20"/>
          <w:szCs w:val="20"/>
        </w:rPr>
        <w:t xml:space="preserve">. Actualmente existen unos 20.000 pacientes en diálisis (estadio 5D) en España. </w:t>
      </w:r>
    </w:p>
    <w:p w:rsidR="00E81B3D" w:rsidRDefault="00E81B3D" w:rsidP="007E30EB">
      <w:pPr>
        <w:spacing w:before="120" w:after="120"/>
        <w:ind w:left="993"/>
        <w:rPr>
          <w:rFonts w:cs="Arial"/>
          <w:sz w:val="20"/>
          <w:szCs w:val="20"/>
        </w:rPr>
      </w:pPr>
      <w:r w:rsidRPr="003F1941">
        <w:rPr>
          <w:rFonts w:cs="Arial"/>
          <w:sz w:val="20"/>
          <w:szCs w:val="20"/>
        </w:rPr>
        <w:t>Como se ha mencionado con anterioridad, la importancia de la detección precoz de la ERC radica en que es reconocida actualmente como un problema importante de Salud Pública, debido a la necesidad de un carísimo tratamiento sustitutivo en la fase terminal de la enfermedad y el aumento extremo del riesgo de eventos cardiovasculares (infarto de miocardio, insuficiencia cardíaca crónica, accidente vascular cerebral, arteriopatía periférica, etc.) genéricamente considerados en el</w:t>
      </w:r>
      <w:r>
        <w:rPr>
          <w:rFonts w:cs="Arial"/>
          <w:sz w:val="20"/>
          <w:szCs w:val="20"/>
        </w:rPr>
        <w:t xml:space="preserve"> </w:t>
      </w:r>
      <w:r w:rsidRPr="006807B1">
        <w:rPr>
          <w:rFonts w:cs="Arial"/>
          <w:sz w:val="20"/>
          <w:szCs w:val="20"/>
        </w:rPr>
        <w:t>hasta ahora</w:t>
      </w:r>
      <w:r>
        <w:rPr>
          <w:rFonts w:cs="Arial"/>
          <w:sz w:val="20"/>
          <w:szCs w:val="20"/>
        </w:rPr>
        <w:t xml:space="preserve"> </w:t>
      </w:r>
      <w:r w:rsidRPr="003F1941">
        <w:rPr>
          <w:rFonts w:cs="Arial"/>
          <w:sz w:val="20"/>
          <w:szCs w:val="20"/>
        </w:rPr>
        <w:t xml:space="preserve"> llamado Síndrome Cardiorenal tipo IV</w:t>
      </w:r>
      <w:r w:rsidRPr="003F1941">
        <w:rPr>
          <w:rStyle w:val="Refdenotaalfinal"/>
          <w:sz w:val="20"/>
          <w:szCs w:val="20"/>
        </w:rPr>
        <w:endnoteReference w:id="8"/>
      </w:r>
      <w:r w:rsidRPr="003F1941">
        <w:rPr>
          <w:rFonts w:cs="Arial"/>
          <w:sz w:val="20"/>
          <w:szCs w:val="20"/>
        </w:rPr>
        <w:t xml:space="preserve"> con los costes económicos consiguientes, en gran parte derivados de ingresos hospitalarios complejos, una mortalidad prematura y disminución de la calidad de vida. Se estima que el 40% de la población española con enfermedad renal oculta (no diagnosticada) fallecerá (principalmente de problemas cardiovasculares) antes de entrar en un programa de diálisis. Por tanto estos pacientes tienen más probabilidades de morir por una complicación secundaria a la ERC que de</w:t>
      </w:r>
      <w:r w:rsidRPr="00DA47AC">
        <w:rPr>
          <w:rFonts w:cs="Arial"/>
          <w:sz w:val="20"/>
          <w:szCs w:val="20"/>
        </w:rPr>
        <w:t xml:space="preserve"> entrar en un programa de diálisis</w:t>
      </w:r>
      <w:r>
        <w:rPr>
          <w:rStyle w:val="Refdenotaalfinal"/>
          <w:sz w:val="20"/>
          <w:szCs w:val="20"/>
        </w:rPr>
        <w:endnoteReference w:id="9"/>
      </w:r>
      <w:r w:rsidRPr="00DA47AC">
        <w:rPr>
          <w:rFonts w:cs="Arial"/>
          <w:sz w:val="20"/>
          <w:szCs w:val="20"/>
        </w:rPr>
        <w:t>. La supervivencia global evaluada para los pacientes en diálisis es de un 12,9% a los diez años, a pesar de los avances técnicos del tratamiento</w:t>
      </w:r>
      <w:r>
        <w:rPr>
          <w:rFonts w:cs="Arial"/>
          <w:sz w:val="20"/>
          <w:szCs w:val="20"/>
        </w:rPr>
        <w:t xml:space="preserve">. </w:t>
      </w:r>
      <w:r w:rsidRPr="006807B1">
        <w:rPr>
          <w:rFonts w:cs="Arial"/>
          <w:sz w:val="20"/>
          <w:szCs w:val="20"/>
        </w:rPr>
        <w:t>Ello es debido pr</w:t>
      </w:r>
      <w:r w:rsidRPr="00A26732">
        <w:rPr>
          <w:rFonts w:cs="Arial"/>
          <w:sz w:val="20"/>
          <w:szCs w:val="20"/>
        </w:rPr>
        <w:t>e</w:t>
      </w:r>
      <w:r w:rsidRPr="00DA47AC">
        <w:rPr>
          <w:rFonts w:cs="Arial"/>
          <w:sz w:val="20"/>
          <w:szCs w:val="20"/>
        </w:rPr>
        <w:t>sumiblemente al hecho de que el 50% tiene una media de tres factores de riesgo cardiovascular y una gran comorbilidad asociada. Por todos estos motivos se acepta hoy que la ERC constituye una de las principales causas de muerte en el mundo occidental.</w:t>
      </w:r>
    </w:p>
    <w:p w:rsidR="00E81B3D" w:rsidRPr="003F1941" w:rsidRDefault="00E81B3D" w:rsidP="007E30EB">
      <w:pPr>
        <w:spacing w:before="120" w:after="120"/>
        <w:ind w:left="993"/>
        <w:rPr>
          <w:rFonts w:cs="Arial"/>
          <w:sz w:val="20"/>
          <w:szCs w:val="20"/>
        </w:rPr>
      </w:pPr>
      <w:r w:rsidRPr="003F1941">
        <w:rPr>
          <w:rFonts w:cs="Arial"/>
          <w:sz w:val="20"/>
          <w:szCs w:val="20"/>
        </w:rPr>
        <w:t xml:space="preserve">La prevalencia de la ERC aumenta por el envejecimiento de la población, el incremento de la prevalencia de sus factores de riesgo como la enfermedad cardiovascular, la DM, la HTA o la obesidad y, obviamente, por el diagnóstico precoz de la misma. En Estados Unidos (datos del USRDS) se ha </w:t>
      </w:r>
      <w:r w:rsidRPr="003F1941">
        <w:rPr>
          <w:rFonts w:cs="Arial"/>
          <w:sz w:val="20"/>
          <w:szCs w:val="20"/>
        </w:rPr>
        <w:lastRenderedPageBreak/>
        <w:t xml:space="preserve">publicado la posibilidad de duplicación de la población con ERC en una década. En Europa, donde la incidencia de la ERC es claramente inferior a la de los EEUU, se ha detectado un incremento anual cercano al 5%. </w:t>
      </w:r>
    </w:p>
    <w:p w:rsidR="00E81B3D" w:rsidRPr="003F1941" w:rsidRDefault="00E81B3D" w:rsidP="007E30EB">
      <w:pPr>
        <w:spacing w:before="120" w:after="120"/>
        <w:ind w:left="993"/>
        <w:rPr>
          <w:rFonts w:cs="Arial"/>
          <w:sz w:val="20"/>
          <w:szCs w:val="20"/>
        </w:rPr>
      </w:pPr>
      <w:r w:rsidRPr="003F1941">
        <w:rPr>
          <w:rFonts w:cs="Arial"/>
          <w:sz w:val="20"/>
          <w:szCs w:val="20"/>
        </w:rPr>
        <w:t xml:space="preserve">El coste medio por paciente en tratamiento </w:t>
      </w:r>
      <w:r>
        <w:rPr>
          <w:rFonts w:cs="Arial"/>
          <w:sz w:val="20"/>
          <w:szCs w:val="20"/>
        </w:rPr>
        <w:t xml:space="preserve">sustitutivo </w:t>
      </w:r>
      <w:r w:rsidRPr="003F1941">
        <w:rPr>
          <w:rFonts w:cs="Arial"/>
          <w:sz w:val="20"/>
          <w:szCs w:val="20"/>
        </w:rPr>
        <w:t xml:space="preserve">renal </w:t>
      </w:r>
      <w:r w:rsidRPr="006807B1">
        <w:rPr>
          <w:rFonts w:cs="Arial"/>
          <w:sz w:val="20"/>
          <w:szCs w:val="20"/>
        </w:rPr>
        <w:t>(TSR)</w:t>
      </w:r>
      <w:r>
        <w:rPr>
          <w:rFonts w:cs="Arial"/>
          <w:sz w:val="20"/>
          <w:szCs w:val="20"/>
        </w:rPr>
        <w:t xml:space="preserve"> </w:t>
      </w:r>
      <w:r w:rsidRPr="003F1941">
        <w:rPr>
          <w:rFonts w:cs="Arial"/>
          <w:sz w:val="20"/>
          <w:szCs w:val="20"/>
        </w:rPr>
        <w:t xml:space="preserve"> (estadio 5D) es seis veces mayor que el tratamiento de pacientes con infección por el VIH y 24 veces mayor que el tratamiento de pacientes con EPOC y asma. El coste medio anual por paciente tratado con hemodiálisis es de 46.659,83 € (43.234 ±13.932 €) y de 32.432,07 € en diálisis peritoneal.</w:t>
      </w:r>
      <w:r w:rsidRPr="003F1941">
        <w:rPr>
          <w:rStyle w:val="Refdenotaalfinal"/>
          <w:sz w:val="20"/>
          <w:szCs w:val="20"/>
        </w:rPr>
        <w:endnoteReference w:id="10"/>
      </w:r>
      <w:r w:rsidRPr="003F1941">
        <w:rPr>
          <w:rFonts w:cs="Arial"/>
          <w:sz w:val="20"/>
          <w:szCs w:val="20"/>
        </w:rPr>
        <w:t xml:space="preserve"> Se estima que </w:t>
      </w:r>
      <w:r w:rsidRPr="00D721A4">
        <w:rPr>
          <w:rFonts w:cs="Arial"/>
          <w:sz w:val="20"/>
          <w:szCs w:val="20"/>
        </w:rPr>
        <w:t>el TSR</w:t>
      </w:r>
      <w:r>
        <w:rPr>
          <w:rFonts w:cs="Arial"/>
          <w:sz w:val="20"/>
          <w:szCs w:val="20"/>
        </w:rPr>
        <w:t xml:space="preserve"> </w:t>
      </w:r>
      <w:r w:rsidRPr="003F1941">
        <w:rPr>
          <w:rFonts w:cs="Arial"/>
          <w:sz w:val="20"/>
          <w:szCs w:val="20"/>
        </w:rPr>
        <w:t>consume el 2,5% del presupuesto del Sistema Nacional de Salud y más del 4% de atención especializada, esperando un incremento anual de estos costes puesto que unos 6.000 nuevos pacientes inician la terapia de reemplazo renal y se produce un aumento del 3% en la prevalencia (Registro Español de Enfermos Renales Informe de 2006 de diálisis renal y trasplante en España</w:t>
      </w:r>
      <w:r w:rsidRPr="003F1941">
        <w:rPr>
          <w:rStyle w:val="Refdenotaalfinal"/>
          <w:sz w:val="20"/>
          <w:szCs w:val="20"/>
        </w:rPr>
        <w:endnoteReference w:id="11"/>
      </w:r>
      <w:r w:rsidRPr="003F1941">
        <w:rPr>
          <w:rFonts w:cs="Arial"/>
          <w:sz w:val="20"/>
          <w:szCs w:val="20"/>
        </w:rPr>
        <w:t>). En algunos registros se aprecia que la tasa de prevalencia continúa mostrando una tendencia creciente en los últimos años (</w:t>
      </w:r>
      <w:r w:rsidRPr="002944C1">
        <w:rPr>
          <w:rFonts w:cs="Arial"/>
          <w:sz w:val="20"/>
          <w:szCs w:val="20"/>
        </w:rPr>
        <w:t xml:space="preserve">1124 pacientes por millón de población –pmp-). La tasa de incidencia es de 121 pmp, (SEN-ONT 2011) </w:t>
      </w:r>
      <w:r w:rsidRPr="002944C1">
        <w:rPr>
          <w:rFonts w:cs="Arial"/>
          <w:sz w:val="20"/>
          <w:szCs w:val="20"/>
          <w:vertAlign w:val="superscript"/>
        </w:rPr>
        <w:t>(11)</w:t>
      </w:r>
      <w:r w:rsidRPr="002944C1">
        <w:rPr>
          <w:rFonts w:cs="Arial"/>
          <w:sz w:val="20"/>
          <w:szCs w:val="20"/>
        </w:rPr>
        <w:t xml:space="preserve">  estando en la media  europea entre otras causas por la no limitación de entrada en programas</w:t>
      </w:r>
      <w:r w:rsidRPr="003F1941">
        <w:rPr>
          <w:rFonts w:cs="Arial"/>
          <w:sz w:val="20"/>
          <w:szCs w:val="20"/>
        </w:rPr>
        <w:t xml:space="preserve"> de tratamiento sustitutivo.</w:t>
      </w:r>
    </w:p>
    <w:p w:rsidR="00E81B3D" w:rsidRDefault="00E81B3D" w:rsidP="007E30EB">
      <w:pPr>
        <w:spacing w:before="120" w:after="120"/>
        <w:ind w:left="993"/>
        <w:rPr>
          <w:rFonts w:cs="Arial"/>
          <w:sz w:val="20"/>
          <w:szCs w:val="20"/>
        </w:rPr>
      </w:pPr>
      <w:r w:rsidRPr="00DA47AC">
        <w:rPr>
          <w:rFonts w:cs="Arial"/>
          <w:sz w:val="20"/>
          <w:szCs w:val="20"/>
        </w:rPr>
        <w:t xml:space="preserve">La proporción de </w:t>
      </w:r>
      <w:r w:rsidRPr="00DA47AC">
        <w:rPr>
          <w:rFonts w:cs="Arial"/>
          <w:i/>
          <w:sz w:val="20"/>
          <w:szCs w:val="20"/>
        </w:rPr>
        <w:t>distribución de costes</w:t>
      </w:r>
      <w:r w:rsidRPr="00DA47AC">
        <w:rPr>
          <w:rFonts w:cs="Arial"/>
          <w:sz w:val="20"/>
          <w:szCs w:val="20"/>
        </w:rPr>
        <w:t xml:space="preserve"> en el estudio de V. </w:t>
      </w:r>
      <w:r>
        <w:rPr>
          <w:rFonts w:cs="Arial"/>
          <w:sz w:val="20"/>
          <w:szCs w:val="20"/>
        </w:rPr>
        <w:t xml:space="preserve">Lorenzo previamente mencionado </w:t>
      </w:r>
      <w:r w:rsidRPr="006807B1">
        <w:rPr>
          <w:rFonts w:cs="Arial"/>
          <w:sz w:val="20"/>
          <w:szCs w:val="20"/>
        </w:rPr>
        <w:t>para las Islas</w:t>
      </w:r>
      <w:r w:rsidRPr="000A0B06">
        <w:rPr>
          <w:rFonts w:cs="Arial"/>
          <w:color w:val="FF0000"/>
          <w:sz w:val="20"/>
          <w:szCs w:val="20"/>
        </w:rPr>
        <w:t xml:space="preserve"> </w:t>
      </w:r>
      <w:r>
        <w:rPr>
          <w:rFonts w:cs="Arial"/>
          <w:sz w:val="20"/>
          <w:szCs w:val="20"/>
        </w:rPr>
        <w:t>Canarias</w:t>
      </w:r>
      <w:r w:rsidRPr="00DA47AC">
        <w:rPr>
          <w:rFonts w:cs="Arial"/>
          <w:sz w:val="20"/>
          <w:szCs w:val="20"/>
        </w:rPr>
        <w:t xml:space="preserve"> fue de un 51% destinado a las sesiones de hemodiálisis, 27% a gastos farmacéuticos, 17% a hospitalizaciones, 3% a transp</w:t>
      </w:r>
      <w:r>
        <w:rPr>
          <w:rFonts w:cs="Arial"/>
          <w:sz w:val="20"/>
          <w:szCs w:val="20"/>
        </w:rPr>
        <w:t>orte y 2% atención ambulatoria</w:t>
      </w:r>
      <w:r>
        <w:rPr>
          <w:rStyle w:val="Refdenotaalfinal"/>
          <w:sz w:val="20"/>
          <w:szCs w:val="20"/>
        </w:rPr>
        <w:endnoteReference w:id="12"/>
      </w:r>
      <w:r w:rsidRPr="00DA47AC">
        <w:rPr>
          <w:rFonts w:cs="Arial"/>
          <w:sz w:val="20"/>
          <w:szCs w:val="20"/>
        </w:rPr>
        <w:t>. La mediana de gasto farmacéutico anual total por paciente fue de 11.702 € (34,6 €/paciente/día). Estos datos contrastan con el coste (11-12 €/paciente/día) de pacientes con ERC antes del inicio de diálisis</w:t>
      </w:r>
      <w:bookmarkStart w:id="10" w:name="_Ref343104666"/>
      <w:r>
        <w:rPr>
          <w:rStyle w:val="Refdenotaalfinal"/>
          <w:sz w:val="20"/>
          <w:szCs w:val="20"/>
        </w:rPr>
        <w:endnoteReference w:id="13"/>
      </w:r>
      <w:bookmarkEnd w:id="10"/>
      <w:r w:rsidRPr="00DA47AC">
        <w:rPr>
          <w:rFonts w:cs="Arial"/>
          <w:sz w:val="20"/>
          <w:szCs w:val="20"/>
        </w:rPr>
        <w:t>.</w:t>
      </w:r>
    </w:p>
    <w:p w:rsidR="00E81B3D" w:rsidRDefault="00E81B3D" w:rsidP="007E30EB">
      <w:pPr>
        <w:spacing w:before="120" w:after="120"/>
        <w:ind w:left="993"/>
        <w:rPr>
          <w:rFonts w:cs="Arial"/>
          <w:sz w:val="20"/>
          <w:szCs w:val="20"/>
        </w:rPr>
      </w:pPr>
    </w:p>
    <w:p w:rsidR="00E81B3D" w:rsidRPr="00215D7C" w:rsidRDefault="00E81B3D" w:rsidP="007E30EB">
      <w:pPr>
        <w:pStyle w:val="Ttulo2"/>
        <w:ind w:left="993" w:hanging="426"/>
        <w:rPr>
          <w:rFonts w:ascii="Arial" w:hAnsi="Arial" w:cs="Arial"/>
          <w:i w:val="0"/>
          <w:sz w:val="20"/>
          <w:szCs w:val="20"/>
        </w:rPr>
      </w:pPr>
      <w:bookmarkStart w:id="11" w:name="_Toc341725518"/>
      <w:r w:rsidRPr="00215D7C">
        <w:rPr>
          <w:rFonts w:ascii="Arial" w:hAnsi="Arial" w:cs="Arial"/>
          <w:i w:val="0"/>
          <w:sz w:val="20"/>
          <w:szCs w:val="20"/>
        </w:rPr>
        <w:t>Factores de riesgo</w:t>
      </w:r>
      <w:bookmarkEnd w:id="11"/>
    </w:p>
    <w:p w:rsidR="00E81B3D" w:rsidRDefault="00E81B3D" w:rsidP="007E30EB">
      <w:pPr>
        <w:spacing w:before="120" w:after="120"/>
        <w:ind w:left="993"/>
        <w:rPr>
          <w:rFonts w:cs="Arial"/>
          <w:sz w:val="20"/>
          <w:szCs w:val="20"/>
        </w:rPr>
      </w:pPr>
      <w:r w:rsidRPr="00DA47AC">
        <w:rPr>
          <w:rFonts w:cs="Arial"/>
          <w:sz w:val="20"/>
          <w:szCs w:val="20"/>
        </w:rPr>
        <w:t>Las situaciones de riesgo que favorecen la ERC son múltiples. En la Figura 1 se expone</w:t>
      </w:r>
      <w:r>
        <w:rPr>
          <w:rFonts w:cs="Arial"/>
          <w:sz w:val="20"/>
          <w:szCs w:val="20"/>
        </w:rPr>
        <w:t xml:space="preserve"> </w:t>
      </w:r>
      <w:r w:rsidRPr="00DA47AC">
        <w:rPr>
          <w:rFonts w:cs="Arial"/>
          <w:sz w:val="20"/>
          <w:szCs w:val="20"/>
        </w:rPr>
        <w:t xml:space="preserve">el modelo </w:t>
      </w:r>
      <w:r w:rsidRPr="003F1941">
        <w:rPr>
          <w:rFonts w:cs="Arial"/>
          <w:sz w:val="20"/>
          <w:szCs w:val="20"/>
        </w:rPr>
        <w:t>conceptual inicialmente publicado por la NK</w:t>
      </w:r>
      <w:r>
        <w:rPr>
          <w:rFonts w:cs="Arial"/>
          <w:sz w:val="20"/>
          <w:szCs w:val="20"/>
        </w:rPr>
        <w:t>F</w:t>
      </w:r>
      <w:fldSimple w:instr=" NOTEREF _Ref343104413 \f  \* MERGEFORMAT ">
        <w:r w:rsidR="00852CBE" w:rsidRPr="00852CBE">
          <w:rPr>
            <w:rStyle w:val="Refdenotaalfinal"/>
            <w:sz w:val="20"/>
            <w:szCs w:val="20"/>
          </w:rPr>
          <w:t>1</w:t>
        </w:r>
      </w:fldSimple>
      <w:r>
        <w:t xml:space="preserve"> </w:t>
      </w:r>
      <w:fldSimple w:instr=" NOTEREF _Ref343104596 \f  \* MERGEFORMAT ">
        <w:r w:rsidR="00852CBE" w:rsidRPr="00852CBE">
          <w:rPr>
            <w:rStyle w:val="Refdenotaalfinal"/>
            <w:sz w:val="20"/>
            <w:szCs w:val="20"/>
          </w:rPr>
          <w:t>2</w:t>
        </w:r>
      </w:fldSimple>
      <w:r>
        <w:rPr>
          <w:sz w:val="20"/>
          <w:szCs w:val="20"/>
        </w:rPr>
        <w:t xml:space="preserve"> </w:t>
      </w:r>
      <w:r>
        <w:rPr>
          <w:rStyle w:val="Refdenotaalfinal"/>
          <w:sz w:val="20"/>
          <w:szCs w:val="20"/>
        </w:rPr>
        <w:endnoteReference w:id="14"/>
      </w:r>
      <w:r w:rsidRPr="003F1941">
        <w:rPr>
          <w:rFonts w:cs="Arial"/>
          <w:sz w:val="20"/>
          <w:szCs w:val="20"/>
        </w:rPr>
        <w:t>. Este modelo representa la ERC como un proceso continuo en su desarrollo, progresión y complicaciones, incluyendo las estrategias posibles para mejorar su evolución y pronóstico.</w:t>
      </w:r>
    </w:p>
    <w:p w:rsidR="00E81B3D" w:rsidRPr="003F1941" w:rsidRDefault="00E81B3D" w:rsidP="007C11EE">
      <w:pPr>
        <w:spacing w:before="120" w:after="120"/>
        <w:rPr>
          <w:rFonts w:cs="Arial"/>
          <w:sz w:val="20"/>
          <w:szCs w:val="20"/>
        </w:rPr>
      </w:pPr>
    </w:p>
    <w:p w:rsidR="00E81B3D" w:rsidRPr="003F1941" w:rsidRDefault="00E81B3D" w:rsidP="00904912">
      <w:pPr>
        <w:spacing w:before="120" w:after="120"/>
        <w:ind w:left="993"/>
        <w:jc w:val="left"/>
        <w:rPr>
          <w:rFonts w:cs="Arial"/>
          <w:b/>
          <w:sz w:val="18"/>
          <w:szCs w:val="18"/>
        </w:rPr>
      </w:pPr>
      <w:r w:rsidRPr="003F1941">
        <w:rPr>
          <w:rFonts w:cs="Arial"/>
          <w:b/>
          <w:sz w:val="18"/>
          <w:szCs w:val="18"/>
        </w:rPr>
        <w:t>Figura 1. MODELO CONCEPTUAL ORIGINAL PARA LA ENFERMEDAD RENAL CRÓNICA (NKF)</w:t>
      </w:r>
    </w:p>
    <w:p w:rsidR="00E81B3D" w:rsidRDefault="00E81B3D" w:rsidP="009E01A8">
      <w:pPr>
        <w:spacing w:before="120" w:after="120"/>
        <w:ind w:left="993"/>
        <w:jc w:val="center"/>
        <w:rPr>
          <w:rFonts w:cs="Arial"/>
          <w:sz w:val="20"/>
          <w:szCs w:val="20"/>
        </w:rPr>
      </w:pPr>
    </w:p>
    <w:p w:rsidR="00E81B3D" w:rsidRDefault="009D115B" w:rsidP="009E01A8">
      <w:pPr>
        <w:spacing w:before="120" w:after="120"/>
        <w:ind w:left="993"/>
        <w:jc w:val="center"/>
        <w:rPr>
          <w:rFonts w:cs="Arial"/>
          <w:sz w:val="20"/>
          <w:szCs w:val="20"/>
        </w:rPr>
      </w:pPr>
      <w:r>
        <w:rPr>
          <w:noProof/>
          <w:szCs w:val="20"/>
        </w:rPr>
        <w:drawing>
          <wp:inline distT="0" distB="0" distL="0" distR="0">
            <wp:extent cx="5875655" cy="177419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srcRect/>
                    <a:stretch>
                      <a:fillRect/>
                    </a:stretch>
                  </pic:blipFill>
                  <pic:spPr bwMode="auto">
                    <a:xfrm>
                      <a:off x="0" y="0"/>
                      <a:ext cx="5875655" cy="1774190"/>
                    </a:xfrm>
                    <a:prstGeom prst="rect">
                      <a:avLst/>
                    </a:prstGeom>
                    <a:noFill/>
                    <a:ln w="9525">
                      <a:noFill/>
                      <a:miter lim="800000"/>
                      <a:headEnd/>
                      <a:tailEnd/>
                    </a:ln>
                  </pic:spPr>
                </pic:pic>
              </a:graphicData>
            </a:graphic>
          </wp:inline>
        </w:drawing>
      </w:r>
    </w:p>
    <w:p w:rsidR="00E81B3D" w:rsidRDefault="00E81B3D" w:rsidP="007E30EB">
      <w:pPr>
        <w:spacing w:before="120" w:after="120"/>
        <w:ind w:left="993"/>
        <w:rPr>
          <w:rFonts w:cs="Arial"/>
          <w:sz w:val="20"/>
          <w:szCs w:val="20"/>
        </w:rPr>
      </w:pPr>
      <w:r w:rsidRPr="00D83695">
        <w:rPr>
          <w:rFonts w:cs="Arial"/>
          <w:sz w:val="20"/>
          <w:szCs w:val="20"/>
          <w:lang w:val="en-US"/>
        </w:rPr>
        <w:t xml:space="preserve">Leyenda: NKF=National Kidney Foundation.  </w:t>
      </w:r>
      <w:r w:rsidRPr="003F1941">
        <w:rPr>
          <w:rFonts w:cs="Arial"/>
          <w:sz w:val="20"/>
          <w:szCs w:val="20"/>
        </w:rPr>
        <w:t>La ERC es un proceso continuo de desarrollo,</w:t>
      </w:r>
      <w:r w:rsidRPr="004A0FD0">
        <w:rPr>
          <w:rFonts w:cs="Arial"/>
          <w:sz w:val="20"/>
          <w:szCs w:val="20"/>
        </w:rPr>
        <w:t xml:space="preserve"> progresión y </w:t>
      </w:r>
      <w:r>
        <w:rPr>
          <w:rFonts w:cs="Arial"/>
          <w:sz w:val="20"/>
          <w:szCs w:val="20"/>
        </w:rPr>
        <w:t xml:space="preserve">aparición de </w:t>
      </w:r>
      <w:r w:rsidRPr="004A0FD0">
        <w:rPr>
          <w:rFonts w:cs="Arial"/>
          <w:sz w:val="20"/>
          <w:szCs w:val="20"/>
        </w:rPr>
        <w:t xml:space="preserve">complicaciones. Se representan también las estrategias para mejorar el pronóstico en las que cada estadio incluye los pasos anteriores. Las flechas gruesas entre círculos representan el desarrollo, progresión y remisión de la ERC (la remisión es menos frecuente, por lo que está representada con flechas discontinuas). Las complicaciones se refieren a todas las complicaciones secundarias al descenso del </w:t>
      </w:r>
      <w:r>
        <w:rPr>
          <w:rFonts w:cs="Arial"/>
          <w:sz w:val="20"/>
          <w:szCs w:val="20"/>
        </w:rPr>
        <w:t>filtrado glomerular</w:t>
      </w:r>
      <w:r w:rsidRPr="004A0FD0">
        <w:rPr>
          <w:rFonts w:cs="Arial"/>
          <w:sz w:val="20"/>
          <w:szCs w:val="20"/>
        </w:rPr>
        <w:t xml:space="preserve"> y la enfermedad cardiovascular. Las complicaciones pueden deberse también a los efectos adversos de las intervenciones para prevenir o tratar la ERC. Es posible representar flechas en sentido contrario, pero la remisión es mucho menos frecuente que la progresión. Aunque existen enfermedades renales rápidamente progresivas que pueden llevar a la pérdida de la función renal en meses, la mayoría de las enfermedades evolucionan durante décadas e incluso algunos pacientes apenas progresan durante muchos años de seguimiento. Las complicaciones ocurren en cualquier estadio, y a menudo pueden conducir a la muerte sin progresar al fracaso renal.</w:t>
      </w:r>
    </w:p>
    <w:p w:rsidR="00E81B3D" w:rsidRDefault="00E81B3D" w:rsidP="007E30EB">
      <w:pPr>
        <w:spacing w:before="120" w:after="120"/>
        <w:ind w:left="993"/>
        <w:rPr>
          <w:rFonts w:cs="Arial"/>
          <w:sz w:val="20"/>
          <w:szCs w:val="20"/>
        </w:rPr>
      </w:pPr>
      <w:r w:rsidRPr="004A0FD0">
        <w:rPr>
          <w:rFonts w:cs="Arial"/>
          <w:sz w:val="20"/>
          <w:szCs w:val="20"/>
        </w:rPr>
        <w:lastRenderedPageBreak/>
        <w:t>Este modelo conceptual incluye factores de riesgo en cada una de sus fases y éstos se clasifican como:</w:t>
      </w:r>
    </w:p>
    <w:p w:rsidR="00E81B3D" w:rsidRPr="004A0FD0" w:rsidRDefault="00E81B3D" w:rsidP="007E30EB">
      <w:pPr>
        <w:numPr>
          <w:ilvl w:val="0"/>
          <w:numId w:val="3"/>
        </w:numPr>
        <w:spacing w:before="120" w:after="120"/>
        <w:ind w:left="1560" w:hanging="284"/>
        <w:rPr>
          <w:rFonts w:cs="Arial"/>
          <w:sz w:val="20"/>
          <w:szCs w:val="20"/>
        </w:rPr>
      </w:pPr>
      <w:r w:rsidRPr="004A0FD0">
        <w:rPr>
          <w:rFonts w:cs="Arial"/>
          <w:sz w:val="20"/>
          <w:szCs w:val="20"/>
        </w:rPr>
        <w:t xml:space="preserve">Factores de </w:t>
      </w:r>
      <w:r w:rsidRPr="00E270F9">
        <w:rPr>
          <w:rFonts w:cs="Arial"/>
          <w:b/>
          <w:sz w:val="20"/>
          <w:szCs w:val="20"/>
          <w:u w:val="single"/>
        </w:rPr>
        <w:t>susceptibilidad</w:t>
      </w:r>
      <w:r w:rsidRPr="006F7A3E">
        <w:rPr>
          <w:rFonts w:cs="Arial"/>
          <w:sz w:val="20"/>
          <w:szCs w:val="20"/>
        </w:rPr>
        <w:t xml:space="preserve"> a ERC</w:t>
      </w:r>
      <w:r w:rsidRPr="004A0FD0">
        <w:rPr>
          <w:rFonts w:cs="Arial"/>
          <w:sz w:val="20"/>
          <w:szCs w:val="20"/>
        </w:rPr>
        <w:t>: son los que aumentan la posibilidad de desarrollar ERC.</w:t>
      </w:r>
    </w:p>
    <w:p w:rsidR="00E81B3D" w:rsidRPr="004A0FD0" w:rsidRDefault="00E81B3D" w:rsidP="007E30EB">
      <w:pPr>
        <w:numPr>
          <w:ilvl w:val="0"/>
          <w:numId w:val="3"/>
        </w:numPr>
        <w:spacing w:before="120" w:after="120"/>
        <w:ind w:left="1560" w:hanging="284"/>
        <w:rPr>
          <w:rFonts w:cs="Arial"/>
          <w:sz w:val="20"/>
          <w:szCs w:val="20"/>
        </w:rPr>
      </w:pPr>
      <w:r w:rsidRPr="004A0FD0">
        <w:rPr>
          <w:rFonts w:cs="Arial"/>
          <w:sz w:val="20"/>
          <w:szCs w:val="20"/>
        </w:rPr>
        <w:t xml:space="preserve">Factores </w:t>
      </w:r>
      <w:r w:rsidRPr="00E270F9">
        <w:rPr>
          <w:rFonts w:cs="Arial"/>
          <w:b/>
          <w:sz w:val="20"/>
          <w:szCs w:val="20"/>
          <w:u w:val="single"/>
        </w:rPr>
        <w:t>iniciadores</w:t>
      </w:r>
      <w:r w:rsidRPr="004A0FD0">
        <w:rPr>
          <w:rFonts w:cs="Arial"/>
          <w:sz w:val="20"/>
          <w:szCs w:val="20"/>
        </w:rPr>
        <w:t>: son los que pueden iniciar directamente el daño renal.</w:t>
      </w:r>
    </w:p>
    <w:p w:rsidR="00E81B3D" w:rsidRPr="004A0FD0" w:rsidRDefault="00E81B3D" w:rsidP="007E30EB">
      <w:pPr>
        <w:numPr>
          <w:ilvl w:val="0"/>
          <w:numId w:val="3"/>
        </w:numPr>
        <w:spacing w:before="120" w:after="120"/>
        <w:ind w:left="1560" w:hanging="284"/>
        <w:rPr>
          <w:rFonts w:cs="Arial"/>
          <w:sz w:val="20"/>
          <w:szCs w:val="20"/>
        </w:rPr>
      </w:pPr>
      <w:r w:rsidRPr="004A0FD0">
        <w:rPr>
          <w:rFonts w:cs="Arial"/>
          <w:sz w:val="20"/>
          <w:szCs w:val="20"/>
        </w:rPr>
        <w:t xml:space="preserve">Factores de </w:t>
      </w:r>
      <w:r w:rsidRPr="00E270F9">
        <w:rPr>
          <w:rFonts w:cs="Arial"/>
          <w:b/>
          <w:sz w:val="20"/>
          <w:szCs w:val="20"/>
          <w:u w:val="single"/>
        </w:rPr>
        <w:t>progresión</w:t>
      </w:r>
      <w:r w:rsidRPr="004A0FD0">
        <w:rPr>
          <w:rFonts w:cs="Arial"/>
          <w:sz w:val="20"/>
          <w:szCs w:val="20"/>
        </w:rPr>
        <w:t>: son los que pueden empeorar y acelerar el deterioro de la función renal.</w:t>
      </w:r>
    </w:p>
    <w:p w:rsidR="00E81B3D" w:rsidRDefault="00E81B3D" w:rsidP="007E30EB">
      <w:pPr>
        <w:numPr>
          <w:ilvl w:val="0"/>
          <w:numId w:val="3"/>
        </w:numPr>
        <w:spacing w:before="120" w:after="120"/>
        <w:ind w:left="1560" w:hanging="284"/>
        <w:rPr>
          <w:rFonts w:cs="Arial"/>
          <w:sz w:val="20"/>
          <w:szCs w:val="20"/>
        </w:rPr>
      </w:pPr>
      <w:r w:rsidRPr="004A0FD0">
        <w:rPr>
          <w:rFonts w:cs="Arial"/>
          <w:sz w:val="20"/>
          <w:szCs w:val="20"/>
        </w:rPr>
        <w:t xml:space="preserve">Factores de </w:t>
      </w:r>
      <w:r>
        <w:rPr>
          <w:rFonts w:cs="Arial"/>
          <w:b/>
          <w:sz w:val="20"/>
          <w:szCs w:val="20"/>
          <w:u w:val="single"/>
        </w:rPr>
        <w:t xml:space="preserve">estadio </w:t>
      </w:r>
      <w:r w:rsidRPr="00E270F9">
        <w:rPr>
          <w:rFonts w:cs="Arial"/>
          <w:b/>
          <w:sz w:val="20"/>
          <w:szCs w:val="20"/>
          <w:u w:val="single"/>
        </w:rPr>
        <w:t>final</w:t>
      </w:r>
      <w:r w:rsidRPr="004A0FD0">
        <w:rPr>
          <w:rFonts w:cs="Arial"/>
          <w:sz w:val="20"/>
          <w:szCs w:val="20"/>
        </w:rPr>
        <w:t xml:space="preserve">: son los que incrementan la morbimortalidad en los </w:t>
      </w:r>
      <w:r>
        <w:rPr>
          <w:rFonts w:cs="Arial"/>
          <w:sz w:val="20"/>
          <w:szCs w:val="20"/>
        </w:rPr>
        <w:t>estadios</w:t>
      </w:r>
      <w:r w:rsidRPr="004A0FD0">
        <w:rPr>
          <w:rFonts w:cs="Arial"/>
          <w:sz w:val="20"/>
          <w:szCs w:val="20"/>
        </w:rPr>
        <w:t xml:space="preserve"> finales de la enfermedad.</w:t>
      </w:r>
    </w:p>
    <w:p w:rsidR="00E81B3D" w:rsidRDefault="00E81B3D" w:rsidP="007E30EB">
      <w:pPr>
        <w:spacing w:before="120" w:after="120"/>
        <w:ind w:left="1560"/>
        <w:rPr>
          <w:rFonts w:cs="Arial"/>
          <w:sz w:val="20"/>
          <w:szCs w:val="20"/>
        </w:rPr>
      </w:pPr>
      <w:r>
        <w:rPr>
          <w:rFonts w:cs="Arial"/>
          <w:sz w:val="20"/>
          <w:szCs w:val="20"/>
        </w:rPr>
        <w:t xml:space="preserve">(ver tabla 1) </w:t>
      </w:r>
    </w:p>
    <w:p w:rsidR="00E81B3D" w:rsidRPr="00E270F9" w:rsidRDefault="00E81B3D" w:rsidP="007E30EB">
      <w:pPr>
        <w:spacing w:before="120" w:after="120"/>
        <w:ind w:left="993"/>
        <w:rPr>
          <w:rFonts w:cs="Arial"/>
          <w:sz w:val="20"/>
          <w:szCs w:val="20"/>
        </w:rPr>
      </w:pPr>
      <w:r w:rsidRPr="00E270F9">
        <w:rPr>
          <w:rFonts w:cs="Arial"/>
          <w:sz w:val="20"/>
          <w:szCs w:val="20"/>
        </w:rPr>
        <w:t>Algunos factores de riesgo pueden ser a la vez susceptibilidad, iniciadores y de progresión, como por ejemplo la HTA.</w:t>
      </w:r>
    </w:p>
    <w:p w:rsidR="00E81B3D" w:rsidRDefault="00E81B3D" w:rsidP="007E30EB">
      <w:pPr>
        <w:spacing w:before="120" w:after="120"/>
        <w:ind w:left="993"/>
        <w:rPr>
          <w:rFonts w:cs="Arial"/>
          <w:sz w:val="20"/>
          <w:szCs w:val="20"/>
        </w:rPr>
      </w:pPr>
      <w:r w:rsidRPr="00E270F9">
        <w:rPr>
          <w:rFonts w:cs="Arial"/>
          <w:sz w:val="20"/>
          <w:szCs w:val="20"/>
        </w:rPr>
        <w:t>De los</w:t>
      </w:r>
      <w:r w:rsidRPr="00B847FA">
        <w:rPr>
          <w:rFonts w:cs="Arial"/>
          <w:color w:val="00FFFF"/>
          <w:sz w:val="20"/>
          <w:szCs w:val="20"/>
        </w:rPr>
        <w:t xml:space="preserve"> </w:t>
      </w:r>
      <w:r w:rsidRPr="00E270F9">
        <w:rPr>
          <w:rFonts w:cs="Arial"/>
          <w:sz w:val="20"/>
          <w:szCs w:val="20"/>
        </w:rPr>
        <w:t>citados, son factores de riesgo potencialmente modificables:</w:t>
      </w:r>
    </w:p>
    <w:p w:rsidR="00E81B3D" w:rsidRPr="00E270F9" w:rsidRDefault="00E81B3D" w:rsidP="007E30EB">
      <w:pPr>
        <w:numPr>
          <w:ilvl w:val="0"/>
          <w:numId w:val="3"/>
        </w:numPr>
        <w:spacing w:before="120" w:after="120"/>
        <w:ind w:left="1560" w:hanging="284"/>
        <w:rPr>
          <w:rFonts w:cs="Arial"/>
          <w:sz w:val="20"/>
          <w:szCs w:val="20"/>
        </w:rPr>
      </w:pPr>
      <w:r w:rsidRPr="00E270F9">
        <w:rPr>
          <w:rFonts w:cs="Arial"/>
          <w:sz w:val="20"/>
          <w:szCs w:val="20"/>
        </w:rPr>
        <w:t>Diabetes</w:t>
      </w:r>
    </w:p>
    <w:p w:rsidR="00E81B3D" w:rsidRPr="00E270F9" w:rsidRDefault="00E81B3D" w:rsidP="007E30EB">
      <w:pPr>
        <w:numPr>
          <w:ilvl w:val="0"/>
          <w:numId w:val="3"/>
        </w:numPr>
        <w:spacing w:before="120" w:after="120"/>
        <w:ind w:left="1560" w:hanging="284"/>
        <w:rPr>
          <w:rFonts w:cs="Arial"/>
          <w:sz w:val="20"/>
          <w:szCs w:val="20"/>
        </w:rPr>
      </w:pPr>
      <w:r w:rsidRPr="00E270F9">
        <w:rPr>
          <w:rFonts w:cs="Arial"/>
          <w:sz w:val="20"/>
          <w:szCs w:val="20"/>
        </w:rPr>
        <w:t>Obesidad</w:t>
      </w:r>
    </w:p>
    <w:p w:rsidR="00E81B3D" w:rsidRPr="00E270F9" w:rsidRDefault="00E81B3D" w:rsidP="007E30EB">
      <w:pPr>
        <w:numPr>
          <w:ilvl w:val="0"/>
          <w:numId w:val="3"/>
        </w:numPr>
        <w:spacing w:before="120" w:after="120"/>
        <w:ind w:left="1560" w:hanging="284"/>
        <w:rPr>
          <w:rFonts w:cs="Arial"/>
          <w:sz w:val="20"/>
          <w:szCs w:val="20"/>
        </w:rPr>
      </w:pPr>
      <w:r w:rsidRPr="00E270F9">
        <w:rPr>
          <w:rFonts w:cs="Arial"/>
          <w:sz w:val="20"/>
          <w:szCs w:val="20"/>
        </w:rPr>
        <w:t>HTA</w:t>
      </w:r>
    </w:p>
    <w:p w:rsidR="00E81B3D" w:rsidRPr="00E270F9" w:rsidRDefault="00E81B3D" w:rsidP="007E30EB">
      <w:pPr>
        <w:numPr>
          <w:ilvl w:val="0"/>
          <w:numId w:val="3"/>
        </w:numPr>
        <w:spacing w:before="120" w:after="120"/>
        <w:ind w:left="1560" w:hanging="284"/>
        <w:rPr>
          <w:rFonts w:cs="Arial"/>
          <w:sz w:val="20"/>
          <w:szCs w:val="20"/>
        </w:rPr>
      </w:pPr>
      <w:r w:rsidRPr="00E270F9">
        <w:rPr>
          <w:rFonts w:cs="Arial"/>
          <w:sz w:val="20"/>
          <w:szCs w:val="20"/>
        </w:rPr>
        <w:t>Tabaquismo</w:t>
      </w:r>
    </w:p>
    <w:p w:rsidR="00E81B3D" w:rsidRDefault="00E81B3D" w:rsidP="007E30EB">
      <w:pPr>
        <w:numPr>
          <w:ilvl w:val="0"/>
          <w:numId w:val="3"/>
        </w:numPr>
        <w:spacing w:before="120" w:after="120"/>
        <w:ind w:left="1560" w:hanging="284"/>
        <w:rPr>
          <w:rFonts w:cs="Arial"/>
          <w:sz w:val="20"/>
          <w:szCs w:val="20"/>
        </w:rPr>
      </w:pPr>
      <w:r w:rsidRPr="00E270F9">
        <w:rPr>
          <w:rFonts w:cs="Arial"/>
          <w:sz w:val="20"/>
          <w:szCs w:val="20"/>
        </w:rPr>
        <w:t>Dislipemia</w:t>
      </w:r>
    </w:p>
    <w:p w:rsidR="00E81B3D" w:rsidRPr="00E270F9" w:rsidRDefault="00E81B3D" w:rsidP="007E30EB">
      <w:pPr>
        <w:spacing w:before="120" w:after="120"/>
        <w:ind w:left="993"/>
        <w:rPr>
          <w:rFonts w:cs="Arial"/>
          <w:sz w:val="20"/>
          <w:szCs w:val="20"/>
        </w:rPr>
      </w:pPr>
      <w:r w:rsidRPr="00E270F9">
        <w:rPr>
          <w:rFonts w:cs="Arial"/>
          <w:sz w:val="20"/>
          <w:szCs w:val="20"/>
        </w:rPr>
        <w:t xml:space="preserve">El control de estos factores puede evitar el inicio de daño renal, incluso puede favorecer la regresión de la enfermedad en fases muy iniciales y ralentizar su progresión cuando ya está establecida. Aunque la </w:t>
      </w:r>
      <w:r w:rsidRPr="00835B38">
        <w:rPr>
          <w:rFonts w:cs="Arial"/>
          <w:sz w:val="20"/>
          <w:szCs w:val="20"/>
        </w:rPr>
        <w:t>edad</w:t>
      </w:r>
      <w:r w:rsidRPr="00E270F9">
        <w:rPr>
          <w:rFonts w:cs="Arial"/>
          <w:sz w:val="20"/>
          <w:szCs w:val="20"/>
        </w:rPr>
        <w:t xml:space="preserve"> no es un factor determinante, se sabe que con los años la función renal se puede deteriorar lenta y progresivamente, y se añaden también otros factores vasculares inherentes al proceso de envejecimiento. También pueden influir algunos fármacos nefrotóxicos utilizados en estas edades, dada la pluripatología de los pacientes y la falta de conocimiento de la presencia de alteración de la función renal.</w:t>
      </w:r>
    </w:p>
    <w:p w:rsidR="00E81B3D" w:rsidRPr="003F1941" w:rsidRDefault="00E81B3D" w:rsidP="007E30EB">
      <w:pPr>
        <w:spacing w:before="120" w:after="120"/>
        <w:ind w:left="993"/>
        <w:rPr>
          <w:rFonts w:cs="Arial"/>
          <w:sz w:val="20"/>
          <w:szCs w:val="20"/>
        </w:rPr>
      </w:pPr>
      <w:r w:rsidRPr="003F1941">
        <w:rPr>
          <w:rFonts w:cs="Arial"/>
          <w:sz w:val="20"/>
          <w:szCs w:val="20"/>
        </w:rPr>
        <w:t>Algunos estudios recientes han analizado el papel de los factores de riesgo cardiovascular clásicos en la aparición y desarrollo de la ERC. En un análisis del Framingham Heart Study, la presencia de estos factores, especialmente la edad, la HTA, la DM, la concentración baja de colesterol HDL y el consumo de tabaco fueron predictores de aparición de ERC durante el seguimiento a 18 años de una cohorte poblacional de personas sin ERC al inicio</w:t>
      </w:r>
      <w:fldSimple w:instr=" NOTEREF _Ref343104666 \f  \* MERGEFORMAT ">
        <w:r w:rsidR="00852CBE" w:rsidRPr="00852CBE">
          <w:rPr>
            <w:rStyle w:val="Refdenotaalfinal"/>
            <w:sz w:val="20"/>
            <w:szCs w:val="20"/>
          </w:rPr>
          <w:t>12</w:t>
        </w:r>
      </w:fldSimple>
      <w:r w:rsidRPr="003F1941">
        <w:rPr>
          <w:rFonts w:cs="Arial"/>
          <w:sz w:val="20"/>
          <w:szCs w:val="20"/>
        </w:rPr>
        <w:t>.</w:t>
      </w:r>
    </w:p>
    <w:p w:rsidR="00E81B3D" w:rsidRPr="003F1941" w:rsidRDefault="00E81B3D" w:rsidP="007E30EB">
      <w:pPr>
        <w:spacing w:before="120" w:after="120"/>
        <w:ind w:left="993"/>
        <w:rPr>
          <w:sz w:val="20"/>
          <w:szCs w:val="20"/>
        </w:rPr>
      </w:pPr>
      <w:r w:rsidRPr="003F1941">
        <w:rPr>
          <w:sz w:val="20"/>
          <w:szCs w:val="20"/>
        </w:rPr>
        <w:t xml:space="preserve">El manejo global de la enfermedad se basará, en último término, en el diagnóstico clínico y la clasificación en estadios según el FG y la albuminuria. El diagnóstico clínico permite terapias específicas en algunos casos, dirigidos a la causa o a los procesos patológicos. El estadio permitirá guiar </w:t>
      </w:r>
      <w:r w:rsidRPr="003F1941">
        <w:rPr>
          <w:i/>
          <w:sz w:val="20"/>
          <w:szCs w:val="20"/>
        </w:rPr>
        <w:t>terapias no específicas</w:t>
      </w:r>
      <w:r w:rsidRPr="003F1941">
        <w:rPr>
          <w:sz w:val="20"/>
          <w:szCs w:val="20"/>
        </w:rPr>
        <w:t xml:space="preserve"> para disminuir la progresión y el riesgo de complicaciones. Es bien sabido que algunos mecanismos de progresión son </w:t>
      </w:r>
      <w:r w:rsidRPr="003F1941">
        <w:rPr>
          <w:i/>
          <w:sz w:val="20"/>
          <w:szCs w:val="20"/>
        </w:rPr>
        <w:t xml:space="preserve">independientes </w:t>
      </w:r>
      <w:r w:rsidRPr="003F1941">
        <w:rPr>
          <w:sz w:val="20"/>
          <w:szCs w:val="20"/>
        </w:rPr>
        <w:t>de la causa inicial de la enfermedad. Las recomendaciones en cada estadio son acumulativas (las recomendaciones en estadios tardíos incluyen las recomendaciones de los estadios previos). Sin embargo es necesario reconocer que muchas cuestiones clínicas permanecen no contestadas</w:t>
      </w:r>
      <w:r w:rsidRPr="006807B1">
        <w:rPr>
          <w:sz w:val="28"/>
          <w:szCs w:val="20"/>
        </w:rPr>
        <w:t>,</w:t>
      </w:r>
      <w:r w:rsidRPr="006A45BA">
        <w:rPr>
          <w:color w:val="FF0000"/>
          <w:sz w:val="28"/>
          <w:szCs w:val="20"/>
        </w:rPr>
        <w:t xml:space="preserve"> </w:t>
      </w:r>
      <w:r w:rsidRPr="003F1941">
        <w:rPr>
          <w:sz w:val="20"/>
          <w:szCs w:val="20"/>
        </w:rPr>
        <w:t xml:space="preserve"> puesto que muchos estudios carecen de la potencia adecuada o</w:t>
      </w:r>
      <w:r>
        <w:rPr>
          <w:sz w:val="20"/>
          <w:szCs w:val="20"/>
        </w:rPr>
        <w:t xml:space="preserve"> se han basado en marcadores</w:t>
      </w:r>
      <w:r w:rsidRPr="006A45BA">
        <w:rPr>
          <w:color w:val="FF0000"/>
          <w:sz w:val="20"/>
          <w:szCs w:val="20"/>
        </w:rPr>
        <w:t xml:space="preserve"> </w:t>
      </w:r>
      <w:r w:rsidRPr="006807B1">
        <w:rPr>
          <w:sz w:val="20"/>
          <w:szCs w:val="20"/>
        </w:rPr>
        <w:t>subrogados</w:t>
      </w:r>
      <w:r w:rsidRPr="003F1941">
        <w:rPr>
          <w:sz w:val="20"/>
          <w:szCs w:val="20"/>
        </w:rPr>
        <w:t xml:space="preserve"> en vez de datos clínicos duros.</w:t>
      </w:r>
    </w:p>
    <w:p w:rsidR="00E81B3D" w:rsidRDefault="00E81B3D"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E81B3D" w:rsidRDefault="00E81B3D" w:rsidP="00904912">
      <w:pPr>
        <w:spacing w:before="120" w:after="120"/>
        <w:ind w:left="993"/>
        <w:jc w:val="left"/>
        <w:rPr>
          <w:rFonts w:cs="Arial"/>
          <w:b/>
          <w:sz w:val="18"/>
          <w:szCs w:val="18"/>
        </w:rPr>
      </w:pPr>
      <w:r>
        <w:rPr>
          <w:rFonts w:cs="Arial"/>
          <w:b/>
          <w:sz w:val="18"/>
          <w:szCs w:val="18"/>
        </w:rPr>
        <w:lastRenderedPageBreak/>
        <w:t>Tabla 1</w:t>
      </w:r>
      <w:r w:rsidRPr="00E1385B">
        <w:rPr>
          <w:rFonts w:cs="Arial"/>
          <w:b/>
          <w:sz w:val="18"/>
          <w:szCs w:val="18"/>
        </w:rPr>
        <w:t xml:space="preserve">. </w:t>
      </w:r>
      <w:r w:rsidRPr="00A16E13">
        <w:rPr>
          <w:rFonts w:cs="Arial"/>
          <w:b/>
          <w:sz w:val="18"/>
          <w:szCs w:val="18"/>
        </w:rPr>
        <w:t>FACTORES DE RIESGO DE ERC</w:t>
      </w:r>
      <w:fldSimple w:instr=" NOTEREF _Ref343104413 \f  \* MERGEFORMAT ">
        <w:r w:rsidR="00852CBE" w:rsidRPr="00852CBE">
          <w:rPr>
            <w:rStyle w:val="Refdenotaalfinal"/>
            <w:b/>
            <w:sz w:val="18"/>
            <w:szCs w:val="18"/>
          </w:rPr>
          <w:t>1</w:t>
        </w:r>
      </w:fldSimple>
      <w:r>
        <w:t xml:space="preserve"> </w:t>
      </w:r>
      <w:r>
        <w:rPr>
          <w:rStyle w:val="Refdenotaalfinal"/>
          <w:b/>
          <w:sz w:val="18"/>
          <w:szCs w:val="18"/>
        </w:rPr>
        <w:endnoteReference w:id="15"/>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E81B3D" w:rsidRPr="008F23A3" w:rsidTr="00B1318D">
        <w:tc>
          <w:tcPr>
            <w:tcW w:w="8644" w:type="dxa"/>
          </w:tcPr>
          <w:p w:rsidR="00E81B3D" w:rsidRPr="008F23A3" w:rsidRDefault="00E81B3D" w:rsidP="00B1318D">
            <w:pPr>
              <w:rPr>
                <w:b/>
                <w:sz w:val="20"/>
                <w:szCs w:val="20"/>
              </w:rPr>
            </w:pPr>
            <w:r w:rsidRPr="008F23A3">
              <w:rPr>
                <w:b/>
                <w:sz w:val="20"/>
                <w:szCs w:val="20"/>
              </w:rPr>
              <w:t>Factores de susceptibilidad: incrementan la posibilidad de daño renal.</w:t>
            </w:r>
          </w:p>
        </w:tc>
      </w:tr>
      <w:tr w:rsidR="00E81B3D" w:rsidRPr="008F23A3" w:rsidTr="00B1318D">
        <w:tc>
          <w:tcPr>
            <w:tcW w:w="8644" w:type="dxa"/>
          </w:tcPr>
          <w:p w:rsidR="00E81B3D" w:rsidRPr="008F23A3" w:rsidRDefault="00E81B3D" w:rsidP="00B1318D">
            <w:pPr>
              <w:rPr>
                <w:sz w:val="20"/>
                <w:szCs w:val="20"/>
              </w:rPr>
            </w:pPr>
            <w:r w:rsidRPr="008F23A3">
              <w:rPr>
                <w:sz w:val="20"/>
                <w:szCs w:val="20"/>
              </w:rPr>
              <w:t>Edad avanzada</w:t>
            </w:r>
          </w:p>
          <w:p w:rsidR="00E81B3D" w:rsidRPr="008F23A3" w:rsidRDefault="00E81B3D" w:rsidP="00B1318D">
            <w:pPr>
              <w:rPr>
                <w:sz w:val="20"/>
                <w:szCs w:val="20"/>
              </w:rPr>
            </w:pPr>
            <w:r w:rsidRPr="008F23A3">
              <w:rPr>
                <w:sz w:val="20"/>
                <w:szCs w:val="20"/>
              </w:rPr>
              <w:t>Historia familiar de ERC</w:t>
            </w:r>
          </w:p>
          <w:p w:rsidR="00E81B3D" w:rsidRPr="008F23A3" w:rsidRDefault="00E81B3D" w:rsidP="00B1318D">
            <w:pPr>
              <w:rPr>
                <w:sz w:val="20"/>
                <w:szCs w:val="20"/>
              </w:rPr>
            </w:pPr>
            <w:r w:rsidRPr="008F23A3">
              <w:rPr>
                <w:sz w:val="20"/>
                <w:szCs w:val="20"/>
              </w:rPr>
              <w:t>Masa renal disminuida</w:t>
            </w:r>
          </w:p>
          <w:p w:rsidR="00E81B3D" w:rsidRPr="008F23A3" w:rsidRDefault="00E81B3D" w:rsidP="00B1318D">
            <w:pPr>
              <w:rPr>
                <w:sz w:val="20"/>
                <w:szCs w:val="20"/>
              </w:rPr>
            </w:pPr>
            <w:r w:rsidRPr="008F23A3">
              <w:rPr>
                <w:sz w:val="20"/>
                <w:szCs w:val="20"/>
              </w:rPr>
              <w:t>Bajo peso al nacer</w:t>
            </w:r>
          </w:p>
          <w:p w:rsidR="00E81B3D" w:rsidRPr="008F23A3" w:rsidRDefault="00E81B3D" w:rsidP="00B1318D">
            <w:pPr>
              <w:rPr>
                <w:sz w:val="20"/>
                <w:szCs w:val="20"/>
              </w:rPr>
            </w:pPr>
            <w:r w:rsidRPr="008F23A3">
              <w:rPr>
                <w:sz w:val="20"/>
                <w:szCs w:val="20"/>
              </w:rPr>
              <w:t>Raza negra y otras minorías étnicas</w:t>
            </w:r>
          </w:p>
          <w:p w:rsidR="00E81B3D" w:rsidRPr="008F23A3" w:rsidRDefault="00E81B3D" w:rsidP="00B1318D">
            <w:pPr>
              <w:rPr>
                <w:sz w:val="20"/>
                <w:szCs w:val="20"/>
              </w:rPr>
            </w:pPr>
            <w:r w:rsidRPr="008F23A3">
              <w:rPr>
                <w:sz w:val="20"/>
                <w:szCs w:val="20"/>
              </w:rPr>
              <w:t>Hipertensión arterial</w:t>
            </w:r>
          </w:p>
          <w:p w:rsidR="00E81B3D" w:rsidRPr="008F23A3" w:rsidRDefault="00E81B3D" w:rsidP="00B1318D">
            <w:pPr>
              <w:rPr>
                <w:sz w:val="20"/>
                <w:szCs w:val="20"/>
              </w:rPr>
            </w:pPr>
            <w:r w:rsidRPr="008F23A3">
              <w:rPr>
                <w:sz w:val="20"/>
                <w:szCs w:val="20"/>
              </w:rPr>
              <w:t>Diabetes</w:t>
            </w:r>
          </w:p>
          <w:p w:rsidR="00E81B3D" w:rsidRPr="008F23A3" w:rsidRDefault="00E81B3D" w:rsidP="00B1318D">
            <w:pPr>
              <w:rPr>
                <w:sz w:val="20"/>
                <w:szCs w:val="20"/>
              </w:rPr>
            </w:pPr>
            <w:r w:rsidRPr="008F23A3">
              <w:rPr>
                <w:sz w:val="20"/>
                <w:szCs w:val="20"/>
              </w:rPr>
              <w:t>Obesidad</w:t>
            </w:r>
          </w:p>
          <w:p w:rsidR="00E81B3D" w:rsidRPr="008F23A3" w:rsidRDefault="00E81B3D" w:rsidP="00B1318D">
            <w:pPr>
              <w:rPr>
                <w:sz w:val="20"/>
                <w:szCs w:val="20"/>
              </w:rPr>
            </w:pPr>
            <w:r w:rsidRPr="008F23A3">
              <w:rPr>
                <w:sz w:val="20"/>
                <w:szCs w:val="20"/>
              </w:rPr>
              <w:t>Nivel socioeconómico bajo</w:t>
            </w:r>
          </w:p>
        </w:tc>
      </w:tr>
      <w:tr w:rsidR="00E81B3D" w:rsidRPr="008F23A3" w:rsidTr="00B1318D">
        <w:tc>
          <w:tcPr>
            <w:tcW w:w="8644" w:type="dxa"/>
          </w:tcPr>
          <w:p w:rsidR="00E81B3D" w:rsidRPr="008F23A3" w:rsidRDefault="00E81B3D" w:rsidP="00B1318D">
            <w:pPr>
              <w:rPr>
                <w:b/>
                <w:sz w:val="20"/>
                <w:szCs w:val="20"/>
              </w:rPr>
            </w:pPr>
            <w:r w:rsidRPr="008F23A3">
              <w:rPr>
                <w:b/>
                <w:sz w:val="20"/>
                <w:szCs w:val="20"/>
              </w:rPr>
              <w:t>Factores iniciadores: inician directamente el daño renal</w:t>
            </w:r>
          </w:p>
        </w:tc>
      </w:tr>
      <w:tr w:rsidR="00E81B3D" w:rsidRPr="008F23A3" w:rsidTr="00B1318D">
        <w:tc>
          <w:tcPr>
            <w:tcW w:w="8644" w:type="dxa"/>
          </w:tcPr>
          <w:p w:rsidR="00E81B3D" w:rsidRPr="008F23A3" w:rsidRDefault="00E81B3D" w:rsidP="00B1318D">
            <w:pPr>
              <w:rPr>
                <w:sz w:val="20"/>
                <w:szCs w:val="20"/>
              </w:rPr>
            </w:pPr>
            <w:r w:rsidRPr="008F23A3">
              <w:rPr>
                <w:sz w:val="20"/>
                <w:szCs w:val="20"/>
              </w:rPr>
              <w:t>Enfermedades autoinmunes</w:t>
            </w:r>
          </w:p>
          <w:p w:rsidR="00E81B3D" w:rsidRPr="008F23A3" w:rsidRDefault="00E81B3D" w:rsidP="00B1318D">
            <w:pPr>
              <w:rPr>
                <w:sz w:val="20"/>
                <w:szCs w:val="20"/>
              </w:rPr>
            </w:pPr>
            <w:r w:rsidRPr="008F23A3">
              <w:rPr>
                <w:sz w:val="20"/>
                <w:szCs w:val="20"/>
              </w:rPr>
              <w:t>Infecciones sistémicas</w:t>
            </w:r>
          </w:p>
          <w:p w:rsidR="00E81B3D" w:rsidRPr="008F23A3" w:rsidRDefault="00E81B3D" w:rsidP="00B1318D">
            <w:pPr>
              <w:rPr>
                <w:sz w:val="20"/>
                <w:szCs w:val="20"/>
              </w:rPr>
            </w:pPr>
            <w:r w:rsidRPr="008F23A3">
              <w:rPr>
                <w:sz w:val="20"/>
                <w:szCs w:val="20"/>
              </w:rPr>
              <w:t>Infecciones urinarias</w:t>
            </w:r>
          </w:p>
          <w:p w:rsidR="00E81B3D" w:rsidRPr="008F23A3" w:rsidRDefault="00E81B3D" w:rsidP="00B1318D">
            <w:pPr>
              <w:rPr>
                <w:sz w:val="20"/>
                <w:szCs w:val="20"/>
              </w:rPr>
            </w:pPr>
            <w:r w:rsidRPr="008F23A3">
              <w:rPr>
                <w:sz w:val="20"/>
                <w:szCs w:val="20"/>
              </w:rPr>
              <w:t>Litiasis renal</w:t>
            </w:r>
          </w:p>
          <w:p w:rsidR="00E81B3D" w:rsidRPr="008F23A3" w:rsidRDefault="00E81B3D" w:rsidP="00B1318D">
            <w:pPr>
              <w:rPr>
                <w:sz w:val="20"/>
                <w:szCs w:val="20"/>
              </w:rPr>
            </w:pPr>
            <w:r w:rsidRPr="008F23A3">
              <w:rPr>
                <w:sz w:val="20"/>
                <w:szCs w:val="20"/>
              </w:rPr>
              <w:t>Obstrucción de las vías urinarias bajas</w:t>
            </w:r>
          </w:p>
          <w:p w:rsidR="00E81B3D" w:rsidRPr="008F23A3" w:rsidRDefault="00E81B3D" w:rsidP="00B1318D">
            <w:pPr>
              <w:rPr>
                <w:sz w:val="20"/>
                <w:szCs w:val="20"/>
              </w:rPr>
            </w:pPr>
            <w:r w:rsidRPr="008F23A3">
              <w:rPr>
                <w:sz w:val="20"/>
                <w:szCs w:val="20"/>
              </w:rPr>
              <w:t>Fármacos nefr</w:t>
            </w:r>
            <w:r>
              <w:rPr>
                <w:sz w:val="20"/>
                <w:szCs w:val="20"/>
              </w:rPr>
              <w:t>otóxicos, principalmente AINES</w:t>
            </w:r>
          </w:p>
          <w:p w:rsidR="00E81B3D" w:rsidRPr="008F23A3" w:rsidRDefault="00E81B3D" w:rsidP="00B1318D">
            <w:pPr>
              <w:rPr>
                <w:sz w:val="20"/>
                <w:szCs w:val="20"/>
              </w:rPr>
            </w:pPr>
            <w:r w:rsidRPr="008F23A3">
              <w:rPr>
                <w:sz w:val="20"/>
                <w:szCs w:val="20"/>
              </w:rPr>
              <w:t>Hipertensión arterial</w:t>
            </w:r>
          </w:p>
          <w:p w:rsidR="00E81B3D" w:rsidRPr="008F23A3" w:rsidRDefault="00E81B3D" w:rsidP="00B1318D">
            <w:pPr>
              <w:rPr>
                <w:sz w:val="20"/>
                <w:szCs w:val="20"/>
              </w:rPr>
            </w:pPr>
            <w:r w:rsidRPr="008F23A3">
              <w:rPr>
                <w:sz w:val="20"/>
                <w:szCs w:val="20"/>
              </w:rPr>
              <w:t>Diabetes</w:t>
            </w:r>
          </w:p>
        </w:tc>
      </w:tr>
      <w:tr w:rsidR="00E81B3D" w:rsidRPr="008F23A3" w:rsidTr="00B1318D">
        <w:tc>
          <w:tcPr>
            <w:tcW w:w="8644" w:type="dxa"/>
          </w:tcPr>
          <w:p w:rsidR="00E81B3D" w:rsidRPr="008F23A3" w:rsidRDefault="00E81B3D" w:rsidP="00B1318D">
            <w:pPr>
              <w:rPr>
                <w:b/>
                <w:sz w:val="20"/>
                <w:szCs w:val="20"/>
              </w:rPr>
            </w:pPr>
            <w:r w:rsidRPr="008F23A3">
              <w:rPr>
                <w:b/>
                <w:sz w:val="20"/>
                <w:szCs w:val="20"/>
              </w:rPr>
              <w:t>Factores de progresión: empeoran el daño renal y aceleran el deterioro funcional renal</w:t>
            </w:r>
          </w:p>
        </w:tc>
      </w:tr>
      <w:tr w:rsidR="00E81B3D" w:rsidRPr="008F23A3" w:rsidTr="00B1318D">
        <w:tc>
          <w:tcPr>
            <w:tcW w:w="8644" w:type="dxa"/>
          </w:tcPr>
          <w:p w:rsidR="00E81B3D" w:rsidRPr="008F23A3" w:rsidRDefault="00E81B3D" w:rsidP="00B1318D">
            <w:pPr>
              <w:rPr>
                <w:sz w:val="20"/>
                <w:szCs w:val="20"/>
              </w:rPr>
            </w:pPr>
            <w:r w:rsidRPr="008F23A3">
              <w:rPr>
                <w:sz w:val="20"/>
                <w:szCs w:val="20"/>
              </w:rPr>
              <w:t>Proteinuria persistente</w:t>
            </w:r>
          </w:p>
          <w:p w:rsidR="00E81B3D" w:rsidRPr="008F23A3" w:rsidRDefault="00E81B3D" w:rsidP="00B1318D">
            <w:pPr>
              <w:rPr>
                <w:sz w:val="20"/>
                <w:szCs w:val="20"/>
              </w:rPr>
            </w:pPr>
            <w:r w:rsidRPr="008F23A3">
              <w:rPr>
                <w:sz w:val="20"/>
                <w:szCs w:val="20"/>
              </w:rPr>
              <w:t>Hipertensión arterial mal controlada</w:t>
            </w:r>
          </w:p>
          <w:p w:rsidR="00E81B3D" w:rsidRPr="008F23A3" w:rsidRDefault="00E81B3D" w:rsidP="00B1318D">
            <w:pPr>
              <w:rPr>
                <w:sz w:val="20"/>
                <w:szCs w:val="20"/>
                <w:lang w:val="pt-PT"/>
              </w:rPr>
            </w:pPr>
            <w:r w:rsidRPr="008F23A3">
              <w:rPr>
                <w:sz w:val="20"/>
                <w:szCs w:val="20"/>
                <w:lang w:val="pt-PT"/>
              </w:rPr>
              <w:t>Diabetes mal controlada</w:t>
            </w:r>
          </w:p>
          <w:p w:rsidR="00E81B3D" w:rsidRPr="008F23A3" w:rsidRDefault="00E81B3D" w:rsidP="00B1318D">
            <w:pPr>
              <w:rPr>
                <w:sz w:val="20"/>
                <w:szCs w:val="20"/>
                <w:lang w:val="pt-PT"/>
              </w:rPr>
            </w:pPr>
            <w:r w:rsidRPr="008F23A3">
              <w:rPr>
                <w:sz w:val="20"/>
                <w:szCs w:val="20"/>
                <w:lang w:val="pt-PT"/>
              </w:rPr>
              <w:t>Tabaquismo</w:t>
            </w:r>
          </w:p>
          <w:p w:rsidR="00E81B3D" w:rsidRPr="008F23A3" w:rsidRDefault="00E81B3D" w:rsidP="00B1318D">
            <w:pPr>
              <w:rPr>
                <w:sz w:val="20"/>
                <w:szCs w:val="20"/>
                <w:lang w:val="pt-PT"/>
              </w:rPr>
            </w:pPr>
            <w:r w:rsidRPr="008F23A3">
              <w:rPr>
                <w:sz w:val="20"/>
                <w:szCs w:val="20"/>
                <w:lang w:val="pt-PT"/>
              </w:rPr>
              <w:t>Dislipemia</w:t>
            </w:r>
          </w:p>
          <w:p w:rsidR="00E81B3D" w:rsidRPr="008F23A3" w:rsidRDefault="00E81B3D" w:rsidP="00B1318D">
            <w:pPr>
              <w:rPr>
                <w:sz w:val="20"/>
                <w:szCs w:val="20"/>
                <w:lang w:val="pt-PT"/>
              </w:rPr>
            </w:pPr>
            <w:r w:rsidRPr="008F23A3">
              <w:rPr>
                <w:sz w:val="20"/>
                <w:szCs w:val="20"/>
                <w:lang w:val="pt-PT"/>
              </w:rPr>
              <w:t>Anemia</w:t>
            </w:r>
          </w:p>
          <w:p w:rsidR="00E81B3D" w:rsidRPr="008F23A3" w:rsidRDefault="00E81B3D" w:rsidP="00B1318D">
            <w:pPr>
              <w:rPr>
                <w:sz w:val="20"/>
                <w:szCs w:val="20"/>
              </w:rPr>
            </w:pPr>
            <w:r w:rsidRPr="008F23A3">
              <w:rPr>
                <w:sz w:val="20"/>
                <w:szCs w:val="20"/>
              </w:rPr>
              <w:t>Enfermedad cardiovascular asociada</w:t>
            </w:r>
          </w:p>
          <w:p w:rsidR="00E81B3D" w:rsidRPr="008F23A3" w:rsidRDefault="00E81B3D" w:rsidP="00B1318D">
            <w:pPr>
              <w:rPr>
                <w:sz w:val="20"/>
                <w:szCs w:val="20"/>
              </w:rPr>
            </w:pPr>
            <w:r w:rsidRPr="008F23A3">
              <w:rPr>
                <w:sz w:val="20"/>
                <w:szCs w:val="20"/>
              </w:rPr>
              <w:t>Obesidad</w:t>
            </w:r>
          </w:p>
        </w:tc>
      </w:tr>
      <w:tr w:rsidR="00E81B3D" w:rsidRPr="008F23A3" w:rsidTr="00B1318D">
        <w:tc>
          <w:tcPr>
            <w:tcW w:w="8644" w:type="dxa"/>
          </w:tcPr>
          <w:p w:rsidR="00E81B3D" w:rsidRPr="008F23A3" w:rsidRDefault="00E81B3D" w:rsidP="00B1318D">
            <w:pPr>
              <w:rPr>
                <w:b/>
                <w:sz w:val="20"/>
                <w:szCs w:val="20"/>
              </w:rPr>
            </w:pPr>
            <w:r>
              <w:rPr>
                <w:b/>
                <w:sz w:val="20"/>
                <w:szCs w:val="20"/>
              </w:rPr>
              <w:t>Factores de estadi</w:t>
            </w:r>
            <w:r w:rsidRPr="008F23A3">
              <w:rPr>
                <w:b/>
                <w:sz w:val="20"/>
                <w:szCs w:val="20"/>
              </w:rPr>
              <w:t>o final: incrementan la morbimortalidad en situación de fallo renal</w:t>
            </w:r>
          </w:p>
        </w:tc>
      </w:tr>
      <w:tr w:rsidR="00E81B3D" w:rsidRPr="008F23A3" w:rsidTr="00B1318D">
        <w:tc>
          <w:tcPr>
            <w:tcW w:w="8644" w:type="dxa"/>
          </w:tcPr>
          <w:p w:rsidR="00E81B3D" w:rsidRPr="008F23A3" w:rsidRDefault="00E81B3D" w:rsidP="00B1318D">
            <w:pPr>
              <w:rPr>
                <w:sz w:val="20"/>
                <w:szCs w:val="20"/>
              </w:rPr>
            </w:pPr>
            <w:r w:rsidRPr="008F23A3">
              <w:rPr>
                <w:sz w:val="20"/>
                <w:szCs w:val="20"/>
              </w:rPr>
              <w:t>Dosis baja de diálisis (Kt/V)*</w:t>
            </w:r>
          </w:p>
          <w:p w:rsidR="00E81B3D" w:rsidRPr="008F23A3" w:rsidRDefault="00E81B3D" w:rsidP="00B1318D">
            <w:pPr>
              <w:rPr>
                <w:sz w:val="20"/>
                <w:szCs w:val="20"/>
              </w:rPr>
            </w:pPr>
            <w:r w:rsidRPr="008F23A3">
              <w:rPr>
                <w:sz w:val="20"/>
                <w:szCs w:val="20"/>
              </w:rPr>
              <w:t>Acceso vascular temporal para diálisis</w:t>
            </w:r>
          </w:p>
          <w:p w:rsidR="00E81B3D" w:rsidRPr="008F23A3" w:rsidRDefault="00E81B3D" w:rsidP="00B1318D">
            <w:pPr>
              <w:rPr>
                <w:sz w:val="20"/>
                <w:szCs w:val="20"/>
              </w:rPr>
            </w:pPr>
            <w:r w:rsidRPr="008F23A3">
              <w:rPr>
                <w:sz w:val="20"/>
                <w:szCs w:val="20"/>
              </w:rPr>
              <w:t>Anemia</w:t>
            </w:r>
          </w:p>
          <w:p w:rsidR="00E81B3D" w:rsidRPr="00D075E9" w:rsidRDefault="00E81B3D" w:rsidP="00B1318D">
            <w:pPr>
              <w:rPr>
                <w:sz w:val="20"/>
                <w:szCs w:val="20"/>
              </w:rPr>
            </w:pPr>
            <w:r w:rsidRPr="00D075E9">
              <w:rPr>
                <w:sz w:val="20"/>
                <w:szCs w:val="20"/>
              </w:rPr>
              <w:t>Hipoalbuminemia</w:t>
            </w:r>
          </w:p>
          <w:p w:rsidR="00E81B3D" w:rsidRPr="008F23A3" w:rsidRDefault="00E81B3D" w:rsidP="00B1318D">
            <w:pPr>
              <w:rPr>
                <w:sz w:val="20"/>
                <w:szCs w:val="20"/>
              </w:rPr>
            </w:pPr>
            <w:r w:rsidRPr="008F23A3">
              <w:rPr>
                <w:sz w:val="20"/>
                <w:szCs w:val="20"/>
              </w:rPr>
              <w:t>Derivación tardía a nefrología</w:t>
            </w:r>
          </w:p>
        </w:tc>
      </w:tr>
    </w:tbl>
    <w:p w:rsidR="00E81B3D" w:rsidRDefault="00E81B3D" w:rsidP="007E30EB">
      <w:pPr>
        <w:spacing w:before="120" w:after="120"/>
        <w:ind w:left="993"/>
        <w:rPr>
          <w:sz w:val="16"/>
          <w:szCs w:val="16"/>
        </w:rPr>
      </w:pPr>
      <w:r w:rsidRPr="0018552F">
        <w:rPr>
          <w:sz w:val="16"/>
          <w:szCs w:val="16"/>
        </w:rPr>
        <w:t>*Kt/V: K = depuración de urea en el dializador; t = tiempo, V = volumen de distribución de la urea. La cifra resultante se utiliza para cuantificar la suficiencia de la dosis de diálisis.</w:t>
      </w:r>
    </w:p>
    <w:p w:rsidR="00E81B3D" w:rsidRPr="0018552F" w:rsidRDefault="00E81B3D" w:rsidP="007E30EB">
      <w:pPr>
        <w:spacing w:before="120" w:after="120"/>
        <w:ind w:left="993"/>
        <w:rPr>
          <w:sz w:val="16"/>
          <w:szCs w:val="16"/>
        </w:rPr>
      </w:pPr>
    </w:p>
    <w:p w:rsidR="00E81B3D" w:rsidRPr="00215D7C" w:rsidRDefault="00E81B3D" w:rsidP="007E30EB">
      <w:pPr>
        <w:pStyle w:val="Ttulo2"/>
        <w:ind w:left="993" w:hanging="426"/>
        <w:rPr>
          <w:rFonts w:ascii="Arial" w:hAnsi="Arial" w:cs="Arial"/>
          <w:i w:val="0"/>
          <w:sz w:val="20"/>
          <w:szCs w:val="20"/>
        </w:rPr>
      </w:pPr>
      <w:bookmarkStart w:id="12" w:name="_Toc341725519"/>
      <w:r w:rsidRPr="00215D7C">
        <w:rPr>
          <w:rFonts w:ascii="Arial" w:hAnsi="Arial" w:cs="Arial"/>
          <w:i w:val="0"/>
          <w:sz w:val="20"/>
          <w:szCs w:val="20"/>
        </w:rPr>
        <w:t>Cribado de la ERC</w:t>
      </w:r>
      <w:bookmarkEnd w:id="12"/>
    </w:p>
    <w:p w:rsidR="00E81B3D" w:rsidRPr="003F1941" w:rsidRDefault="00E81B3D" w:rsidP="007E30EB">
      <w:pPr>
        <w:spacing w:before="120" w:after="120"/>
        <w:ind w:left="993"/>
        <w:rPr>
          <w:rFonts w:cs="Arial"/>
          <w:sz w:val="20"/>
          <w:szCs w:val="20"/>
        </w:rPr>
      </w:pPr>
      <w:r w:rsidRPr="003F1941">
        <w:rPr>
          <w:sz w:val="20"/>
          <w:szCs w:val="20"/>
        </w:rPr>
        <w:t>Los pacientes con ERC, sobre todo en los primeros estadios, están frecuentemente sin diagnosticar (ERC oculta) porque la ERC suele ser asintomática y muchas veces se detecta solamente durante la valoración de otra condición comórbida. La detección precoz de estos pacientes optimizaría no sólo las posibilidades de tratamiento sino que permitiría retrasar la progresión y potencialmente disminuir la morbimortalidad, reduciendo también los costes sanitarios. El cribado de la ERC se aplica en diversos contextos, incluyendo la población general, la atención sanitaria rutinaria o las poblaciones de alto riesgo. La mayoría de guías clínicas proponen esta última estrategia, es decir la detección de casos en grupos reducidos de personas sobre la base de la presencia de factores de riesgo. Prioritariamente la mayoría de guías</w:t>
      </w:r>
      <w:fldSimple w:instr=" NOTEREF _Ref343105053 \f  \* MERGEFORMAT ">
        <w:r w:rsidR="00852CBE" w:rsidRPr="00852CBE">
          <w:rPr>
            <w:rStyle w:val="Refdenotaalfinal"/>
            <w:rFonts w:cs="Arial"/>
            <w:sz w:val="16"/>
            <w:szCs w:val="16"/>
          </w:rPr>
          <w:t>6</w:t>
        </w:r>
      </w:fldSimple>
      <w:r w:rsidR="00FF43A7">
        <w:t xml:space="preserve"> </w:t>
      </w:r>
      <w:r w:rsidR="00FF43A7" w:rsidRPr="00FF43A7">
        <w:rPr>
          <w:rStyle w:val="Refdenotaalfinal"/>
          <w:sz w:val="16"/>
          <w:szCs w:val="16"/>
        </w:rPr>
        <w:endnoteReference w:id="16"/>
      </w:r>
      <w:r w:rsidR="00FF43A7">
        <w:t xml:space="preserve"> </w:t>
      </w:r>
      <w:r w:rsidR="00FF43A7" w:rsidRPr="00FF43A7">
        <w:rPr>
          <w:rStyle w:val="Refdenotaalfinal"/>
          <w:sz w:val="16"/>
          <w:szCs w:val="16"/>
        </w:rPr>
        <w:endnoteReference w:id="17"/>
      </w:r>
      <w:r w:rsidR="00780BB7">
        <w:t xml:space="preserve"> </w:t>
      </w:r>
      <w:r w:rsidRPr="003F1941">
        <w:rPr>
          <w:sz w:val="20"/>
          <w:szCs w:val="20"/>
        </w:rPr>
        <w:t xml:space="preserve"> recomiendan la detección de ERC en </w:t>
      </w:r>
      <w:r w:rsidRPr="003F1941">
        <w:rPr>
          <w:i/>
          <w:sz w:val="20"/>
          <w:szCs w:val="20"/>
        </w:rPr>
        <w:t>pacientes con HTA, DM tipo 2 o enfermedad cardiovascular establecida</w:t>
      </w:r>
      <w:r w:rsidRPr="003F1941">
        <w:rPr>
          <w:sz w:val="20"/>
          <w:szCs w:val="20"/>
        </w:rPr>
        <w:t xml:space="preserve">. La mayoría de guías, consideran la posibilidad de </w:t>
      </w:r>
      <w:r w:rsidRPr="001D2A19">
        <w:rPr>
          <w:sz w:val="20"/>
          <w:szCs w:val="20"/>
        </w:rPr>
        <w:t>ampliar</w:t>
      </w:r>
      <w:r>
        <w:rPr>
          <w:color w:val="000090"/>
          <w:sz w:val="20"/>
          <w:szCs w:val="20"/>
        </w:rPr>
        <w:t xml:space="preserve"> </w:t>
      </w:r>
      <w:r w:rsidRPr="003F1941">
        <w:rPr>
          <w:sz w:val="20"/>
          <w:szCs w:val="20"/>
        </w:rPr>
        <w:t>estos criterios a otros grupos de alto riesgo como por ejemplo:</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Personas mayores de 60 años</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Obesidad (Índice de Masa Corporal –IMC- &gt; 30 kg/m</w:t>
      </w:r>
      <w:r w:rsidRPr="003F1941">
        <w:rPr>
          <w:rFonts w:cs="Arial"/>
          <w:sz w:val="20"/>
          <w:szCs w:val="20"/>
          <w:vertAlign w:val="superscript"/>
        </w:rPr>
        <w:t>2</w:t>
      </w:r>
      <w:r w:rsidRPr="003F1941">
        <w:rPr>
          <w:rFonts w:cs="Arial"/>
          <w:sz w:val="20"/>
          <w:szCs w:val="20"/>
        </w:rPr>
        <w:t>)</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DM tipo 1 con más de 5 años de evolución.</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Familiares de primer grado de pacientes con enfermedad renal o con enfermedades renales hereditarias (poliquistosis renal, síndrome de Alport, etc.) o con asociación familiar (glomerulonefritis, nefropatías intersticiales).</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lastRenderedPageBreak/>
        <w:t>Enfermedades obstructivas del tracto urinario.</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Pacientes en tratamiento prolongado con fármacos nefrotóxicos (litio, mesalazina, anticalcineurínicos, antiinflamatorios no esteroideos –AINEs-, etc).</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Sujetos con otros factores de riesgo de enfermedad cardiovascular (hiperlipidemia, obesidad, síndrome metabólico, fumadores).</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Antecedentes de insuficiencia renal aguda.</w:t>
      </w:r>
    </w:p>
    <w:p w:rsidR="00E81B3D" w:rsidRPr="003F1941" w:rsidRDefault="00E81B3D" w:rsidP="007E30EB">
      <w:pPr>
        <w:numPr>
          <w:ilvl w:val="0"/>
          <w:numId w:val="3"/>
        </w:numPr>
        <w:spacing w:before="120" w:after="120"/>
        <w:ind w:left="1560" w:hanging="284"/>
        <w:rPr>
          <w:rFonts w:cs="Arial"/>
          <w:sz w:val="20"/>
          <w:szCs w:val="20"/>
        </w:rPr>
      </w:pPr>
      <w:r w:rsidRPr="003F1941">
        <w:rPr>
          <w:rFonts w:cs="Arial"/>
          <w:sz w:val="20"/>
          <w:szCs w:val="20"/>
        </w:rPr>
        <w:t>Pacientes con infecciones crónicas, enfermedades autoinmunes y neoplasias.</w:t>
      </w:r>
    </w:p>
    <w:p w:rsidR="00E81B3D" w:rsidRDefault="00E81B3D" w:rsidP="007E30EB">
      <w:pPr>
        <w:tabs>
          <w:tab w:val="left" w:pos="8647"/>
        </w:tabs>
        <w:ind w:left="993"/>
        <w:rPr>
          <w:sz w:val="20"/>
          <w:szCs w:val="20"/>
        </w:rPr>
      </w:pPr>
    </w:p>
    <w:p w:rsidR="00E81B3D" w:rsidRPr="003F1941" w:rsidRDefault="00E81B3D" w:rsidP="007E30EB">
      <w:pPr>
        <w:tabs>
          <w:tab w:val="left" w:pos="8647"/>
        </w:tabs>
        <w:ind w:left="993"/>
        <w:rPr>
          <w:sz w:val="20"/>
          <w:szCs w:val="20"/>
        </w:rPr>
      </w:pPr>
      <w:r w:rsidRPr="003F1941">
        <w:rPr>
          <w:sz w:val="20"/>
          <w:szCs w:val="20"/>
        </w:rPr>
        <w:t>Debemos tener en cuenta que si incluyéramos, por ejemplo, todos los individuos con DM o HTA y todos los &gt; 50 años entonces el 50% o más de la población general adulta debería visitar a su médico de cabecera para cribado de la ERC. Por tanto, se están estudiando diversos modelos que combinan criterios de alto riesgo y aún no hay un consenso sobre la relación coste-efectividad, ni del impacto sobre la ERC, ni de la prevención de eventos cardiovasculares.</w:t>
      </w:r>
    </w:p>
    <w:p w:rsidR="00E81B3D" w:rsidRPr="003F1941" w:rsidRDefault="00E81B3D" w:rsidP="007E30EB">
      <w:pPr>
        <w:spacing w:before="120" w:after="120"/>
        <w:ind w:left="993"/>
        <w:rPr>
          <w:sz w:val="20"/>
          <w:szCs w:val="20"/>
        </w:rPr>
      </w:pPr>
      <w:r w:rsidRPr="003F1941">
        <w:rPr>
          <w:sz w:val="20"/>
          <w:szCs w:val="20"/>
        </w:rPr>
        <w:t xml:space="preserve">La mayoría de las guías internacionales y el documento de consenso español </w:t>
      </w:r>
      <w:r w:rsidRPr="006807B1">
        <w:rPr>
          <w:sz w:val="20"/>
          <w:szCs w:val="20"/>
        </w:rPr>
        <w:t>SEN-SEMF</w:t>
      </w:r>
      <w:r>
        <w:rPr>
          <w:sz w:val="20"/>
          <w:szCs w:val="20"/>
        </w:rPr>
        <w:t>YC</w:t>
      </w:r>
      <w:r w:rsidRPr="006807B1">
        <w:rPr>
          <w:sz w:val="20"/>
          <w:szCs w:val="20"/>
        </w:rPr>
        <w:t xml:space="preserve"> de 2007</w:t>
      </w:r>
      <w:r>
        <w:rPr>
          <w:sz w:val="20"/>
          <w:szCs w:val="20"/>
        </w:rPr>
        <w:t xml:space="preserve"> </w:t>
      </w:r>
      <w:r w:rsidRPr="003F1941">
        <w:rPr>
          <w:sz w:val="20"/>
          <w:szCs w:val="20"/>
        </w:rPr>
        <w:t xml:space="preserve">incluyen, con un grado de recomendación débil, hacer este cribado mediante la evaluación del FG y de la albuminuria al menos una vez al año. El diagnóstico no debe basarse en una única determinación de FG y/o albuminuria y </w:t>
      </w:r>
      <w:r w:rsidRPr="006A45BA">
        <w:rPr>
          <w:b/>
          <w:sz w:val="20"/>
          <w:szCs w:val="20"/>
        </w:rPr>
        <w:t>siempre</w:t>
      </w:r>
      <w:r w:rsidRPr="003F1941">
        <w:rPr>
          <w:sz w:val="20"/>
          <w:szCs w:val="20"/>
        </w:rPr>
        <w:t xml:space="preserve"> debe confirmarse su persistencia durante un periodo superior a 3 meses. Al igual que ocurre con otras pruebas diagnósticas, una disminución del FG debería ser interpretado considerando la probabilidad de presencia o no de la enfermedad según la situación clínica del paciente.</w:t>
      </w:r>
    </w:p>
    <w:p w:rsidR="00E81B3D" w:rsidRPr="008F7487" w:rsidRDefault="00E81B3D" w:rsidP="007E30EB">
      <w:pPr>
        <w:spacing w:before="120" w:after="120"/>
        <w:ind w:left="993"/>
        <w:rPr>
          <w:sz w:val="20"/>
          <w:szCs w:val="20"/>
        </w:rPr>
      </w:pPr>
    </w:p>
    <w:p w:rsidR="00E81B3D" w:rsidRPr="00215D7C" w:rsidRDefault="00E81B3D" w:rsidP="007E30EB">
      <w:pPr>
        <w:pStyle w:val="Ttulo2"/>
        <w:ind w:left="993" w:hanging="426"/>
        <w:rPr>
          <w:rFonts w:ascii="Arial" w:hAnsi="Arial" w:cs="Arial"/>
          <w:i w:val="0"/>
          <w:sz w:val="20"/>
          <w:szCs w:val="20"/>
        </w:rPr>
      </w:pPr>
      <w:bookmarkStart w:id="13" w:name="_Toc341725520"/>
      <w:r w:rsidRPr="00215D7C">
        <w:rPr>
          <w:rFonts w:ascii="Arial" w:hAnsi="Arial" w:cs="Arial"/>
          <w:i w:val="0"/>
          <w:sz w:val="20"/>
          <w:szCs w:val="20"/>
        </w:rPr>
        <w:t>Diagnóstico de ERC</w:t>
      </w:r>
      <w:bookmarkEnd w:id="13"/>
    </w:p>
    <w:p w:rsidR="00E81B3D" w:rsidRPr="00B444D2" w:rsidRDefault="00E81B3D" w:rsidP="007E30EB">
      <w:pPr>
        <w:pStyle w:val="Ttulo3"/>
        <w:ind w:left="1353" w:hanging="360"/>
        <w:rPr>
          <w:rFonts w:ascii="Arial" w:hAnsi="Arial" w:cs="Arial"/>
          <w:sz w:val="20"/>
          <w:szCs w:val="20"/>
        </w:rPr>
      </w:pPr>
      <w:r w:rsidRPr="00B444D2">
        <w:rPr>
          <w:rFonts w:ascii="Arial" w:hAnsi="Arial" w:cs="Arial"/>
          <w:sz w:val="20"/>
          <w:szCs w:val="20"/>
        </w:rPr>
        <w:t>Estimación del FG</w:t>
      </w:r>
    </w:p>
    <w:p w:rsidR="00E81B3D" w:rsidRDefault="00E81B3D" w:rsidP="007E30EB">
      <w:pPr>
        <w:spacing w:before="120" w:after="120"/>
        <w:ind w:left="993"/>
        <w:rPr>
          <w:rFonts w:cs="Arial"/>
          <w:sz w:val="20"/>
          <w:szCs w:val="20"/>
        </w:rPr>
      </w:pPr>
      <w:r w:rsidRPr="008F23A3">
        <w:rPr>
          <w:sz w:val="20"/>
          <w:szCs w:val="20"/>
        </w:rPr>
        <w:t>Clásicamente se ha utilizado</w:t>
      </w:r>
      <w:r>
        <w:rPr>
          <w:sz w:val="20"/>
          <w:szCs w:val="20"/>
        </w:rPr>
        <w:t xml:space="preserve"> </w:t>
      </w:r>
      <w:r w:rsidRPr="008F23A3">
        <w:rPr>
          <w:sz w:val="20"/>
          <w:szCs w:val="20"/>
        </w:rPr>
        <w:t>la concentración sérica de creatinina para evaluar la función renal</w:t>
      </w:r>
      <w:r>
        <w:rPr>
          <w:sz w:val="20"/>
          <w:szCs w:val="20"/>
        </w:rPr>
        <w:t>,</w:t>
      </w:r>
      <w:r w:rsidRPr="008F23A3">
        <w:rPr>
          <w:sz w:val="20"/>
          <w:szCs w:val="20"/>
        </w:rPr>
        <w:t xml:space="preserve"> pero se ha visto que incluso cifras de creatinina dentro del intervalo de referencia pueden corresponder a FG &lt; 60 ml/min/1,73 m</w:t>
      </w:r>
      <w:r w:rsidRPr="005B3F59">
        <w:rPr>
          <w:rFonts w:cs="Arial"/>
          <w:sz w:val="20"/>
          <w:szCs w:val="20"/>
          <w:vertAlign w:val="superscript"/>
        </w:rPr>
        <w:t>2</w:t>
      </w:r>
      <w:r w:rsidRPr="008F23A3">
        <w:rPr>
          <w:sz w:val="20"/>
          <w:szCs w:val="20"/>
        </w:rPr>
        <w:t xml:space="preserve">. </w:t>
      </w:r>
      <w:r w:rsidRPr="00EF29DF">
        <w:rPr>
          <w:sz w:val="20"/>
          <w:szCs w:val="20"/>
        </w:rPr>
        <w:t>Por ello la creatinina sérica no se debería utilizar como única prueba para el estudio de la función renal. El FG es la mejor herramienta para evaluar la función renal.</w:t>
      </w:r>
      <w:r w:rsidRPr="008F23A3">
        <w:rPr>
          <w:b/>
          <w:sz w:val="20"/>
          <w:szCs w:val="20"/>
        </w:rPr>
        <w:t xml:space="preserve"> </w:t>
      </w:r>
      <w:r w:rsidRPr="008F23A3">
        <w:rPr>
          <w:sz w:val="20"/>
          <w:szCs w:val="20"/>
        </w:rPr>
        <w:t xml:space="preserve">El valor del FG varía en relación con la edad, sexo y masa corporal del individuo, situándose entre </w:t>
      </w:r>
      <w:r w:rsidRPr="003B43B1">
        <w:rPr>
          <w:sz w:val="20"/>
          <w:szCs w:val="20"/>
        </w:rPr>
        <w:t>90-140 ml/min/1,73 m</w:t>
      </w:r>
      <w:r w:rsidRPr="003B43B1">
        <w:rPr>
          <w:sz w:val="20"/>
          <w:szCs w:val="20"/>
          <w:vertAlign w:val="superscript"/>
        </w:rPr>
        <w:t>2</w:t>
      </w:r>
      <w:r w:rsidRPr="003B43B1">
        <w:rPr>
          <w:sz w:val="20"/>
          <w:szCs w:val="20"/>
        </w:rPr>
        <w:t xml:space="preserve"> en personas adultas jóvenes sanas. Para medir el FG se ha utilizado la depuración renal de diversas </w:t>
      </w:r>
      <w:r w:rsidRPr="003F1941">
        <w:rPr>
          <w:sz w:val="20"/>
          <w:szCs w:val="20"/>
        </w:rPr>
        <w:t xml:space="preserve">sustancias exógenas (la depuración de inulina es el “gold-standard”) pero no resultan factibles en la práctica diaria. Por este motivo habitualmente se calcula el FG a partir de la depuración de sustancias </w:t>
      </w:r>
      <w:r w:rsidRPr="003F1941">
        <w:rPr>
          <w:i/>
          <w:sz w:val="20"/>
          <w:szCs w:val="20"/>
        </w:rPr>
        <w:t>endógenas</w:t>
      </w:r>
      <w:r w:rsidRPr="003F1941">
        <w:rPr>
          <w:sz w:val="20"/>
          <w:szCs w:val="20"/>
        </w:rPr>
        <w:t>, y el aclaramiento de creatinina corregido por la superficie corporal (1,73m</w:t>
      </w:r>
      <w:r w:rsidRPr="003F1941">
        <w:rPr>
          <w:sz w:val="20"/>
          <w:szCs w:val="20"/>
          <w:vertAlign w:val="superscript"/>
        </w:rPr>
        <w:t>2</w:t>
      </w:r>
      <w:r w:rsidRPr="003F1941">
        <w:rPr>
          <w:sz w:val="20"/>
          <w:szCs w:val="20"/>
        </w:rPr>
        <w:t>) ha sido hasta no hace mucho la forma más utilizada. El cálculo del FG a partir del aclaramiento de creatinina (medición de la concentración de creatinina en suero y orina de 24 horas) presenta una serie de inconvenientes como son:</w:t>
      </w:r>
    </w:p>
    <w:p w:rsidR="00E81B3D" w:rsidRDefault="00E81B3D" w:rsidP="007E30EB">
      <w:pPr>
        <w:numPr>
          <w:ilvl w:val="0"/>
          <w:numId w:val="3"/>
        </w:numPr>
        <w:spacing w:before="120" w:after="120"/>
        <w:ind w:left="1560" w:hanging="284"/>
        <w:rPr>
          <w:rFonts w:cs="Arial"/>
          <w:sz w:val="20"/>
          <w:szCs w:val="20"/>
        </w:rPr>
      </w:pPr>
      <w:r w:rsidRPr="002412ED">
        <w:rPr>
          <w:rFonts w:cs="Arial"/>
          <w:sz w:val="20"/>
          <w:szCs w:val="20"/>
        </w:rPr>
        <w:t xml:space="preserve">La </w:t>
      </w:r>
      <w:r w:rsidRPr="002412ED">
        <w:rPr>
          <w:rFonts w:cs="Arial"/>
          <w:i/>
          <w:sz w:val="20"/>
          <w:szCs w:val="20"/>
        </w:rPr>
        <w:t>sobreestimación</w:t>
      </w:r>
      <w:r w:rsidRPr="002412ED">
        <w:rPr>
          <w:rFonts w:cs="Arial"/>
          <w:sz w:val="20"/>
          <w:szCs w:val="20"/>
        </w:rPr>
        <w:t xml:space="preserve"> del FG, ya que en la orina se detecta la creatinina que procede del filtrado glomerular más la que se secreta </w:t>
      </w:r>
      <w:r>
        <w:rPr>
          <w:rFonts w:cs="Arial"/>
          <w:sz w:val="20"/>
          <w:szCs w:val="20"/>
        </w:rPr>
        <w:t>en</w:t>
      </w:r>
      <w:r w:rsidRPr="002412ED">
        <w:rPr>
          <w:rFonts w:cs="Arial"/>
          <w:sz w:val="20"/>
          <w:szCs w:val="20"/>
        </w:rPr>
        <w:t xml:space="preserve"> los túbulos renales</w:t>
      </w:r>
      <w:r>
        <w:rPr>
          <w:rFonts w:cs="Arial"/>
          <w:sz w:val="20"/>
          <w:szCs w:val="20"/>
        </w:rPr>
        <w:t>.</w:t>
      </w:r>
    </w:p>
    <w:p w:rsidR="00E81B3D" w:rsidRPr="002D220D" w:rsidRDefault="00E81B3D" w:rsidP="007E30EB">
      <w:pPr>
        <w:numPr>
          <w:ilvl w:val="1"/>
          <w:numId w:val="7"/>
        </w:numPr>
        <w:spacing w:before="120" w:after="120"/>
        <w:ind w:left="1985" w:hanging="284"/>
        <w:rPr>
          <w:rFonts w:cs="Arial"/>
          <w:sz w:val="20"/>
          <w:szCs w:val="20"/>
        </w:rPr>
      </w:pPr>
      <w:r>
        <w:rPr>
          <w:sz w:val="20"/>
          <w:szCs w:val="20"/>
        </w:rPr>
        <w:t>Se ha usado la</w:t>
      </w:r>
      <w:r w:rsidRPr="008F23A3">
        <w:rPr>
          <w:sz w:val="20"/>
          <w:szCs w:val="20"/>
        </w:rPr>
        <w:t xml:space="preserve"> </w:t>
      </w:r>
      <w:r w:rsidRPr="003B43B1">
        <w:rPr>
          <w:sz w:val="20"/>
          <w:szCs w:val="20"/>
        </w:rPr>
        <w:t xml:space="preserve">cimetidina </w:t>
      </w:r>
      <w:r w:rsidRPr="008F23A3">
        <w:rPr>
          <w:sz w:val="20"/>
          <w:szCs w:val="20"/>
        </w:rPr>
        <w:t>como inhibidor de la secreci</w:t>
      </w:r>
      <w:r>
        <w:rPr>
          <w:sz w:val="20"/>
          <w:szCs w:val="20"/>
        </w:rPr>
        <w:t xml:space="preserve">ón tubular de creatinina </w:t>
      </w:r>
      <w:r w:rsidRPr="008F23A3">
        <w:rPr>
          <w:sz w:val="20"/>
          <w:szCs w:val="20"/>
        </w:rPr>
        <w:t>para evitar dicha sobreestima</w:t>
      </w:r>
      <w:r>
        <w:rPr>
          <w:sz w:val="20"/>
          <w:szCs w:val="20"/>
        </w:rPr>
        <w:t xml:space="preserve">ción </w:t>
      </w:r>
    </w:p>
    <w:p w:rsidR="00E81B3D" w:rsidRDefault="00E81B3D" w:rsidP="007E30EB">
      <w:pPr>
        <w:numPr>
          <w:ilvl w:val="0"/>
          <w:numId w:val="3"/>
        </w:numPr>
        <w:spacing w:before="120" w:after="120"/>
        <w:ind w:left="1560" w:hanging="284"/>
        <w:rPr>
          <w:rFonts w:cs="Arial"/>
          <w:sz w:val="20"/>
          <w:szCs w:val="20"/>
        </w:rPr>
      </w:pPr>
      <w:r w:rsidRPr="002D220D">
        <w:rPr>
          <w:sz w:val="20"/>
          <w:szCs w:val="20"/>
        </w:rPr>
        <w:t xml:space="preserve">La problemática que supone la recogida de </w:t>
      </w:r>
      <w:r w:rsidRPr="003B43B1">
        <w:rPr>
          <w:i/>
          <w:sz w:val="20"/>
          <w:szCs w:val="20"/>
        </w:rPr>
        <w:t>orina de 24 horas</w:t>
      </w:r>
      <w:r w:rsidRPr="003B43B1">
        <w:rPr>
          <w:sz w:val="20"/>
          <w:szCs w:val="20"/>
        </w:rPr>
        <w:t xml:space="preserve"> tanto</w:t>
      </w:r>
      <w:r w:rsidRPr="002D220D">
        <w:rPr>
          <w:sz w:val="20"/>
          <w:szCs w:val="20"/>
        </w:rPr>
        <w:t xml:space="preserve"> para el paciente como para los laboratorios.</w:t>
      </w:r>
    </w:p>
    <w:p w:rsidR="00E81B3D" w:rsidRDefault="00E81B3D" w:rsidP="007E30EB">
      <w:pPr>
        <w:numPr>
          <w:ilvl w:val="0"/>
          <w:numId w:val="3"/>
        </w:numPr>
        <w:spacing w:before="120" w:after="120"/>
        <w:ind w:left="1560" w:hanging="284"/>
        <w:rPr>
          <w:rFonts w:cs="Arial"/>
          <w:sz w:val="20"/>
          <w:szCs w:val="20"/>
        </w:rPr>
      </w:pPr>
      <w:r w:rsidRPr="008F23A3">
        <w:rPr>
          <w:sz w:val="20"/>
          <w:szCs w:val="20"/>
        </w:rPr>
        <w:t xml:space="preserve">La </w:t>
      </w:r>
      <w:r w:rsidRPr="003B43B1">
        <w:rPr>
          <w:i/>
          <w:sz w:val="20"/>
          <w:szCs w:val="20"/>
        </w:rPr>
        <w:t xml:space="preserve">media </w:t>
      </w:r>
      <w:r w:rsidRPr="003B43B1">
        <w:rPr>
          <w:sz w:val="20"/>
          <w:szCs w:val="20"/>
        </w:rPr>
        <w:t>del aclaramiento</w:t>
      </w:r>
      <w:r w:rsidRPr="003B43B1">
        <w:rPr>
          <w:i/>
          <w:sz w:val="20"/>
          <w:szCs w:val="20"/>
        </w:rPr>
        <w:t xml:space="preserve"> de creatinina y de urea</w:t>
      </w:r>
      <w:r w:rsidRPr="008F23A3">
        <w:rPr>
          <w:b/>
          <w:sz w:val="20"/>
          <w:szCs w:val="20"/>
        </w:rPr>
        <w:t xml:space="preserve"> </w:t>
      </w:r>
      <w:r w:rsidRPr="003B43B1">
        <w:rPr>
          <w:sz w:val="20"/>
          <w:szCs w:val="20"/>
        </w:rPr>
        <w:t>(esta última infraestima el FG por la presencia de reabsorción tubular)</w:t>
      </w:r>
      <w:r w:rsidRPr="008F23A3">
        <w:rPr>
          <w:b/>
          <w:sz w:val="20"/>
          <w:szCs w:val="20"/>
        </w:rPr>
        <w:t xml:space="preserve"> </w:t>
      </w:r>
      <w:r w:rsidRPr="008F23A3">
        <w:rPr>
          <w:sz w:val="20"/>
          <w:szCs w:val="20"/>
        </w:rPr>
        <w:t>ha sido también recomendada por algunas sociedades como método de estimación del FG</w:t>
      </w:r>
      <w:r>
        <w:rPr>
          <w:sz w:val="20"/>
          <w:szCs w:val="20"/>
        </w:rPr>
        <w:t xml:space="preserve"> en estadios avanzados de la enfermedad para decidir, entre otros, la inclusión de pacientes en programa de diálisis</w:t>
      </w:r>
      <w:r w:rsidRPr="008F23A3">
        <w:rPr>
          <w:sz w:val="20"/>
          <w:szCs w:val="20"/>
        </w:rPr>
        <w:t>.</w:t>
      </w:r>
    </w:p>
    <w:p w:rsidR="00E81B3D" w:rsidRPr="003F1941" w:rsidRDefault="00E81B3D" w:rsidP="007E30EB">
      <w:pPr>
        <w:spacing w:before="120" w:after="120"/>
        <w:ind w:left="993"/>
        <w:rPr>
          <w:rFonts w:cs="Arial"/>
          <w:sz w:val="20"/>
          <w:szCs w:val="20"/>
        </w:rPr>
      </w:pPr>
      <w:r w:rsidRPr="003F1941">
        <w:rPr>
          <w:sz w:val="20"/>
          <w:szCs w:val="20"/>
        </w:rPr>
        <w:t>Actualmente distintas guías como las KDOQI, las KDIGO o las Guías de la Sociedad Española de Nefrología y la Sociedad Española de Bioquímica Clínica y Patología Molecular (SEN-SEQC) recomiendan la estimación del FG mediante ecuaciones obtenidas a partir de la medida de la concentración de creatinina sérica, la edad, el sexo y la etnia. Estas ecuaciones son más exactas que la medida de la creatinina sérica aislada</w:t>
      </w:r>
      <w:fldSimple w:instr=" NOTEREF _Ref343104413 \h  \* MERGEFORMAT ">
        <w:r w:rsidR="00852CBE" w:rsidRPr="00852CBE">
          <w:rPr>
            <w:sz w:val="20"/>
            <w:szCs w:val="20"/>
            <w:vertAlign w:val="superscript"/>
          </w:rPr>
          <w:t>1</w:t>
        </w:r>
      </w:fldSimple>
      <w:r>
        <w:rPr>
          <w:sz w:val="20"/>
          <w:szCs w:val="20"/>
        </w:rPr>
        <w:t xml:space="preserve"> </w:t>
      </w:r>
      <w:bookmarkStart w:id="14" w:name="_Ref343108708"/>
      <w:r>
        <w:rPr>
          <w:rStyle w:val="Refdenotaalfinal"/>
          <w:sz w:val="20"/>
          <w:szCs w:val="20"/>
        </w:rPr>
        <w:endnoteReference w:id="18"/>
      </w:r>
      <w:bookmarkEnd w:id="14"/>
      <w:r w:rsidRPr="003F1941">
        <w:rPr>
          <w:sz w:val="20"/>
          <w:szCs w:val="20"/>
        </w:rPr>
        <w:t xml:space="preserve">. Aunque han sido muchas las ecuaciones publicadas, en la </w:t>
      </w:r>
      <w:r w:rsidRPr="00771054">
        <w:rPr>
          <w:sz w:val="20"/>
          <w:szCs w:val="20"/>
        </w:rPr>
        <w:t>actualidad las más utilizadas son las derivadas del estudio Modification of Diet in Renal Disease</w:t>
      </w:r>
      <w:r w:rsidRPr="00771054">
        <w:rPr>
          <w:rStyle w:val="Refdenotaalfinal"/>
          <w:sz w:val="20"/>
          <w:szCs w:val="20"/>
        </w:rPr>
        <w:endnoteReference w:id="19"/>
      </w:r>
      <w:r w:rsidRPr="00771054">
        <w:rPr>
          <w:sz w:val="20"/>
          <w:szCs w:val="20"/>
        </w:rPr>
        <w:t xml:space="preserve"> </w:t>
      </w:r>
      <w:r w:rsidRPr="00771054">
        <w:rPr>
          <w:rStyle w:val="Refdenotaalfinal"/>
          <w:sz w:val="20"/>
          <w:szCs w:val="20"/>
        </w:rPr>
        <w:endnoteReference w:id="20"/>
      </w:r>
      <w:r>
        <w:rPr>
          <w:sz w:val="20"/>
          <w:szCs w:val="20"/>
        </w:rPr>
        <w:t xml:space="preserve"> </w:t>
      </w:r>
      <w:r>
        <w:rPr>
          <w:rStyle w:val="Refdenotaalfinal"/>
          <w:sz w:val="20"/>
          <w:szCs w:val="20"/>
        </w:rPr>
        <w:endnoteReference w:id="21"/>
      </w:r>
      <w:r w:rsidR="00DA1980">
        <w:rPr>
          <w:sz w:val="20"/>
          <w:szCs w:val="20"/>
        </w:rPr>
        <w:t xml:space="preserve"> </w:t>
      </w:r>
      <w:fldSimple w:instr=" NOTEREF _Ref343107660 \h  \* MERGEFORMAT ">
        <w:r w:rsidR="00852CBE" w:rsidRPr="00852CBE">
          <w:rPr>
            <w:sz w:val="20"/>
            <w:szCs w:val="20"/>
            <w:vertAlign w:val="superscript"/>
          </w:rPr>
          <w:t>32</w:t>
        </w:r>
      </w:fldSimple>
      <w:r w:rsidRPr="00771054">
        <w:rPr>
          <w:sz w:val="20"/>
          <w:szCs w:val="20"/>
        </w:rPr>
        <w:t xml:space="preserve">, </w:t>
      </w:r>
      <w:r w:rsidRPr="00771054">
        <w:rPr>
          <w:i/>
          <w:sz w:val="20"/>
          <w:szCs w:val="20"/>
        </w:rPr>
        <w:t>MDRD-4 o MDRD-IDMS</w:t>
      </w:r>
      <w:r w:rsidRPr="00771054">
        <w:rPr>
          <w:sz w:val="20"/>
          <w:szCs w:val="20"/>
        </w:rPr>
        <w:t>,</w:t>
      </w:r>
      <w:r w:rsidRPr="003F1941">
        <w:rPr>
          <w:sz w:val="20"/>
          <w:szCs w:val="20"/>
        </w:rPr>
        <w:t xml:space="preserve"> en función de si el método usado por el laboratorio para la medida de la </w:t>
      </w:r>
      <w:r w:rsidRPr="003F1941">
        <w:rPr>
          <w:sz w:val="20"/>
          <w:szCs w:val="20"/>
        </w:rPr>
        <w:lastRenderedPageBreak/>
        <w:t xml:space="preserve">creatinina sérica presenta o no </w:t>
      </w:r>
      <w:r w:rsidRPr="003F1941">
        <w:rPr>
          <w:i/>
          <w:sz w:val="20"/>
          <w:szCs w:val="20"/>
        </w:rPr>
        <w:t>trazabilidad</w:t>
      </w:r>
      <w:r w:rsidRPr="003F1941">
        <w:rPr>
          <w:sz w:val="20"/>
          <w:szCs w:val="20"/>
        </w:rPr>
        <w:t xml:space="preserve"> frente al procedimiento de medida de referencia de espectrometría de masas-dilución isotópica (IDMS)</w:t>
      </w:r>
      <w:r w:rsidRPr="003F1941">
        <w:rPr>
          <w:rStyle w:val="Refdenotaalfinal"/>
          <w:sz w:val="20"/>
          <w:szCs w:val="20"/>
        </w:rPr>
        <w:endnoteReference w:id="22"/>
      </w:r>
      <w:r w:rsidRPr="003F1941">
        <w:rPr>
          <w:sz w:val="20"/>
          <w:szCs w:val="20"/>
        </w:rPr>
        <w:t>. Estas ecuaciones también se han usado para valorar la prevalencia de ERC en estudios epidemiológicos y de salud pública, como hemos mencionado con anterioridad</w:t>
      </w:r>
      <w:r w:rsidRPr="003F1941">
        <w:rPr>
          <w:rStyle w:val="Refdenotaalfinal"/>
          <w:sz w:val="20"/>
          <w:szCs w:val="20"/>
        </w:rPr>
        <w:endnoteReference w:id="23"/>
      </w:r>
      <w:r w:rsidRPr="003F1941">
        <w:rPr>
          <w:sz w:val="20"/>
          <w:szCs w:val="20"/>
        </w:rPr>
        <w:t>.</w:t>
      </w:r>
    </w:p>
    <w:p w:rsidR="00E81B3D" w:rsidRDefault="00E81B3D" w:rsidP="007E30EB">
      <w:pPr>
        <w:spacing w:before="120" w:after="120"/>
        <w:ind w:left="993"/>
        <w:rPr>
          <w:rFonts w:cs="Arial"/>
          <w:sz w:val="20"/>
          <w:szCs w:val="20"/>
        </w:rPr>
      </w:pPr>
      <w:r w:rsidRPr="002D220D">
        <w:rPr>
          <w:rFonts w:cs="Arial"/>
          <w:sz w:val="20"/>
          <w:szCs w:val="20"/>
        </w:rPr>
        <w:t xml:space="preserve">El hecho de que </w:t>
      </w:r>
      <w:r>
        <w:rPr>
          <w:rFonts w:cs="Arial"/>
          <w:sz w:val="20"/>
          <w:szCs w:val="20"/>
        </w:rPr>
        <w:t>estas</w:t>
      </w:r>
      <w:r w:rsidRPr="002D220D">
        <w:rPr>
          <w:rFonts w:cs="Arial"/>
          <w:sz w:val="20"/>
          <w:szCs w:val="20"/>
        </w:rPr>
        <w:t xml:space="preserve"> ecuaciones se hayan obtenido en individuos con cierto grado de insuficiencia renal y que haya diferencias en los métodos de medida de creatinina utilizados en los laboratorios tienen como consecuencia una mayor incertidumbre en los valores de FG elevados</w:t>
      </w:r>
      <w:r>
        <w:rPr>
          <w:rFonts w:cs="Arial"/>
          <w:sz w:val="20"/>
          <w:szCs w:val="20"/>
        </w:rPr>
        <w:t>, con una infraestimación sistemática del FG en valores altos</w:t>
      </w:r>
      <w:r>
        <w:rPr>
          <w:rStyle w:val="Refdenotaalfinal"/>
          <w:sz w:val="20"/>
          <w:szCs w:val="20"/>
        </w:rPr>
        <w:endnoteReference w:id="24"/>
      </w:r>
      <w:r>
        <w:rPr>
          <w:rFonts w:cs="Arial"/>
          <w:sz w:val="20"/>
          <w:szCs w:val="20"/>
        </w:rPr>
        <w:t xml:space="preserve">. </w:t>
      </w:r>
      <w:r w:rsidRPr="002D220D">
        <w:rPr>
          <w:rFonts w:cs="Arial"/>
          <w:sz w:val="20"/>
          <w:szCs w:val="20"/>
        </w:rPr>
        <w:t>Por este motivo</w:t>
      </w:r>
      <w:r>
        <w:rPr>
          <w:rFonts w:cs="Arial"/>
          <w:sz w:val="20"/>
          <w:szCs w:val="20"/>
        </w:rPr>
        <w:t>,</w:t>
      </w:r>
      <w:r w:rsidRPr="002D220D">
        <w:rPr>
          <w:rFonts w:cs="Arial"/>
          <w:sz w:val="20"/>
          <w:szCs w:val="20"/>
        </w:rPr>
        <w:t xml:space="preserve"> </w:t>
      </w:r>
      <w:r w:rsidRPr="003B43B1">
        <w:rPr>
          <w:rFonts w:cs="Arial"/>
          <w:sz w:val="20"/>
          <w:szCs w:val="20"/>
        </w:rPr>
        <w:t>sólo se puede informar con el valor numérico exacto los</w:t>
      </w:r>
      <w:r w:rsidRPr="002D220D">
        <w:rPr>
          <w:rFonts w:cs="Arial"/>
          <w:sz w:val="20"/>
          <w:szCs w:val="20"/>
        </w:rPr>
        <w:t xml:space="preserve"> </w:t>
      </w:r>
      <w:r w:rsidRPr="003B43B1">
        <w:rPr>
          <w:rFonts w:cs="Arial"/>
          <w:sz w:val="20"/>
          <w:szCs w:val="20"/>
        </w:rPr>
        <w:t>valores menores de 60 ml/min/1,73 m</w:t>
      </w:r>
      <w:r w:rsidRPr="003B43B1">
        <w:rPr>
          <w:rFonts w:cs="Arial"/>
          <w:sz w:val="20"/>
          <w:szCs w:val="20"/>
          <w:vertAlign w:val="superscript"/>
        </w:rPr>
        <w:t>2</w:t>
      </w:r>
      <w:r w:rsidRPr="003B43B1">
        <w:rPr>
          <w:rFonts w:cs="Arial"/>
          <w:sz w:val="20"/>
          <w:szCs w:val="20"/>
        </w:rPr>
        <w:t xml:space="preserve">. </w:t>
      </w:r>
      <w:r>
        <w:rPr>
          <w:rFonts w:cs="Arial"/>
          <w:sz w:val="20"/>
          <w:szCs w:val="20"/>
        </w:rPr>
        <w:t>Dicha infraestimación podría ocasionar que algunos individuos pudieran ser sometidos a exploraciones innecesarias, infradosificación de fármacos excretados por el riñón, evitar procedimientos diagnósticos y/o recibir terapias más agresivas para conseguir una reducción de factores de riesgo cardiovascular. Por otro lado, la prácticamente nula presencia de etnias distintas a la caucásica o la negra en la población a partir de la cual se originaron estas ecuaciones originó la publicación de ecuaciones con factores de ajuste específicos para etnias distintas</w:t>
      </w:r>
      <w:r>
        <w:rPr>
          <w:rStyle w:val="Refdenotaalfinal"/>
          <w:sz w:val="20"/>
          <w:szCs w:val="20"/>
        </w:rPr>
        <w:endnoteReference w:id="25"/>
      </w:r>
      <w:r>
        <w:rPr>
          <w:rFonts w:cs="Arial"/>
          <w:sz w:val="20"/>
          <w:szCs w:val="20"/>
        </w:rPr>
        <w:t xml:space="preserve"> </w:t>
      </w:r>
      <w:r>
        <w:rPr>
          <w:rStyle w:val="Refdenotaalfinal"/>
          <w:sz w:val="20"/>
          <w:szCs w:val="20"/>
        </w:rPr>
        <w:endnoteReference w:id="26"/>
      </w:r>
      <w:r>
        <w:rPr>
          <w:rFonts w:cs="Arial"/>
          <w:sz w:val="20"/>
          <w:szCs w:val="20"/>
        </w:rPr>
        <w:t>.</w:t>
      </w:r>
    </w:p>
    <w:p w:rsidR="00E81B3D" w:rsidRPr="003F1941" w:rsidRDefault="00E81B3D" w:rsidP="007E30EB">
      <w:pPr>
        <w:spacing w:before="120" w:after="120"/>
        <w:ind w:left="993"/>
        <w:rPr>
          <w:rFonts w:cs="Arial"/>
          <w:sz w:val="20"/>
          <w:szCs w:val="20"/>
        </w:rPr>
      </w:pPr>
      <w:r w:rsidRPr="003F1941">
        <w:rPr>
          <w:rFonts w:cs="Arial"/>
          <w:sz w:val="20"/>
          <w:szCs w:val="20"/>
        </w:rPr>
        <w:t>Por todo ello, desde hace unos años se está trabajando en el desarrollo de nuevas fórmulas para mejorar la exactitud y precisión de las estimaciones del FG y la predicción de acontecimientos adversos. En el año 2009, el grupo Chronic Kidney Disease-Epidemiology Collaboration (CKD-EPI)</w:t>
      </w:r>
      <w:r w:rsidRPr="003F1941">
        <w:rPr>
          <w:rStyle w:val="Refdenotaalfinal"/>
          <w:sz w:val="20"/>
          <w:szCs w:val="20"/>
        </w:rPr>
        <w:endnoteReference w:id="27"/>
      </w:r>
      <w:r w:rsidRPr="003F1941">
        <w:rPr>
          <w:rFonts w:cs="Arial"/>
          <w:sz w:val="20"/>
          <w:szCs w:val="20"/>
        </w:rPr>
        <w:t xml:space="preserve"> </w:t>
      </w:r>
      <w:r w:rsidRPr="003F1941">
        <w:rPr>
          <w:rStyle w:val="Refdenotaalfinal"/>
          <w:sz w:val="20"/>
          <w:szCs w:val="20"/>
        </w:rPr>
        <w:endnoteReference w:id="28"/>
      </w:r>
      <w:r w:rsidRPr="003F1941">
        <w:rPr>
          <w:rFonts w:cs="Arial"/>
          <w:sz w:val="20"/>
          <w:szCs w:val="20"/>
        </w:rPr>
        <w:t xml:space="preserve"> publicó una nueva ecuación elaborada a partir de una población con valores de FG más elevados y métodos de creatinina estandarizados. Esta ecuación, conocida como </w:t>
      </w:r>
      <w:r w:rsidRPr="006F7A3E">
        <w:rPr>
          <w:rFonts w:cs="Arial"/>
          <w:i/>
          <w:sz w:val="20"/>
          <w:szCs w:val="20"/>
        </w:rPr>
        <w:t>CKD-EPI</w:t>
      </w:r>
      <w:r w:rsidRPr="003F1941">
        <w:rPr>
          <w:rFonts w:cs="Arial"/>
          <w:sz w:val="20"/>
          <w:szCs w:val="20"/>
        </w:rPr>
        <w:t xml:space="preserve">, es recomendada por las nuevas guías KDIGO 2012 dado que presenta una mejor exactitud que MDRD. La imprecisión en valores altos </w:t>
      </w:r>
      <w:bookmarkStart w:id="15" w:name="_Ref343106846"/>
      <w:r w:rsidRPr="007C1C93">
        <w:rPr>
          <w:rStyle w:val="Refdenotaalfinal"/>
          <w:sz w:val="16"/>
          <w:szCs w:val="16"/>
        </w:rPr>
        <w:endnoteReference w:id="29"/>
      </w:r>
      <w:bookmarkEnd w:id="15"/>
      <w:r w:rsidRPr="007C1C93">
        <w:rPr>
          <w:rFonts w:cs="Arial"/>
          <w:sz w:val="16"/>
          <w:szCs w:val="16"/>
        </w:rPr>
        <w:t xml:space="preserve"> </w:t>
      </w:r>
      <w:r w:rsidRPr="003F1941">
        <w:rPr>
          <w:rFonts w:cs="Arial"/>
          <w:sz w:val="20"/>
          <w:szCs w:val="20"/>
        </w:rPr>
        <w:t>la hace todavía poco útil para clasificar la ERC en los estadios 1 y 2, identificar estados de hiperfiltración y monitorizar entonces la pérdida de FG. Sin embargo, la mejora en la capacidad predictiva del FG, especialmente entre valores de 60 y 90 ml/min/1,73 m</w:t>
      </w:r>
      <w:r w:rsidRPr="003F1941">
        <w:rPr>
          <w:rFonts w:cs="Arial"/>
          <w:sz w:val="20"/>
          <w:szCs w:val="20"/>
          <w:vertAlign w:val="superscript"/>
        </w:rPr>
        <w:t>2</w:t>
      </w:r>
      <w:r w:rsidRPr="003F1941">
        <w:rPr>
          <w:rFonts w:cs="Arial"/>
          <w:sz w:val="20"/>
          <w:szCs w:val="20"/>
        </w:rPr>
        <w:t>, así como de la predicción de mortalidad global y cardiovascular o del riesgo de presentar ERC terminal</w:t>
      </w:r>
      <w:r w:rsidRPr="007C1C93">
        <w:rPr>
          <w:rStyle w:val="Refdenotaalfinal"/>
          <w:sz w:val="16"/>
          <w:szCs w:val="16"/>
        </w:rPr>
        <w:endnoteReference w:id="30"/>
      </w:r>
      <w:r w:rsidRPr="003F1941">
        <w:rPr>
          <w:rFonts w:cs="Arial"/>
          <w:sz w:val="20"/>
          <w:szCs w:val="20"/>
        </w:rPr>
        <w:t>, determinan que en un futuro próximo CKD-EPI debería sustituir las fórmulas anteriores</w:t>
      </w:r>
      <w:fldSimple w:instr=" NOTEREF _Ref343106567 \f  \* MERGEFORMAT ">
        <w:r w:rsidR="00852CBE" w:rsidRPr="00852CBE">
          <w:rPr>
            <w:rStyle w:val="Refdenotaalfinal"/>
            <w:sz w:val="20"/>
            <w:szCs w:val="20"/>
          </w:rPr>
          <w:t>3</w:t>
        </w:r>
      </w:fldSimple>
      <w:r w:rsidRPr="003F1941">
        <w:rPr>
          <w:rFonts w:cs="Arial"/>
          <w:sz w:val="20"/>
          <w:szCs w:val="20"/>
        </w:rPr>
        <w:t>. A su vez, ya se están desarrollando nuevas fórmulas alternativas para mejorar la exactitud diagnóstica (tanto la precisión como el sesgo)</w:t>
      </w:r>
      <w:r w:rsidRPr="003F1941">
        <w:rPr>
          <w:rStyle w:val="Refdenotaalfinal"/>
          <w:sz w:val="20"/>
          <w:szCs w:val="20"/>
        </w:rPr>
        <w:endnoteReference w:id="31"/>
      </w:r>
      <w:r w:rsidRPr="003F1941">
        <w:rPr>
          <w:rFonts w:cs="Arial"/>
          <w:sz w:val="20"/>
          <w:szCs w:val="20"/>
        </w:rPr>
        <w:t xml:space="preserve">, por lo que las nuevas guías KDIGO 2012 consideran aceptable el uso de fórmulas alternativas si se ha mostrado que mejoran la exactitud en comparación con la fórmula de CKD-EPI. </w:t>
      </w:r>
    </w:p>
    <w:p w:rsidR="00E81B3D" w:rsidRDefault="00E81B3D" w:rsidP="007E30EB">
      <w:pPr>
        <w:spacing w:before="120" w:after="120"/>
        <w:ind w:left="993"/>
        <w:rPr>
          <w:rFonts w:cs="Arial"/>
          <w:b/>
          <w:sz w:val="18"/>
          <w:szCs w:val="18"/>
        </w:rPr>
      </w:pPr>
    </w:p>
    <w:p w:rsidR="00E81B3D" w:rsidRDefault="00E81B3D" w:rsidP="007E30EB">
      <w:pPr>
        <w:spacing w:before="120" w:after="120"/>
        <w:ind w:left="993"/>
        <w:rPr>
          <w:rFonts w:cs="Arial"/>
          <w:b/>
          <w:sz w:val="18"/>
          <w:szCs w:val="18"/>
        </w:rPr>
      </w:pPr>
      <w:r>
        <w:rPr>
          <w:rFonts w:cs="Arial"/>
          <w:b/>
          <w:sz w:val="18"/>
          <w:szCs w:val="18"/>
        </w:rPr>
        <w:t>ECUACIONE</w:t>
      </w:r>
      <w:r w:rsidRPr="00BA3ED8">
        <w:rPr>
          <w:rFonts w:cs="Arial"/>
          <w:b/>
          <w:sz w:val="18"/>
          <w:szCs w:val="18"/>
        </w:rPr>
        <w:t>S DE ESTIMACIÓN DEL FILTRADO GLOMERULAR</w:t>
      </w:r>
    </w:p>
    <w:p w:rsidR="00E81B3D" w:rsidRDefault="00E81B3D" w:rsidP="007E30EB">
      <w:pPr>
        <w:spacing w:before="120" w:after="120"/>
        <w:ind w:left="993"/>
        <w:rPr>
          <w:rFonts w:cs="Arial"/>
          <w:b/>
          <w:sz w:val="18"/>
          <w:szCs w:val="18"/>
        </w:rPr>
      </w:pPr>
    </w:p>
    <w:p w:rsidR="00E81B3D" w:rsidRDefault="00E81B3D" w:rsidP="00904912">
      <w:pPr>
        <w:spacing w:before="120" w:after="120"/>
        <w:ind w:left="993"/>
        <w:jc w:val="left"/>
        <w:rPr>
          <w:rFonts w:cs="Arial"/>
          <w:b/>
          <w:sz w:val="18"/>
          <w:szCs w:val="18"/>
        </w:rPr>
      </w:pPr>
      <w:r>
        <w:rPr>
          <w:rFonts w:cs="Arial"/>
          <w:b/>
          <w:sz w:val="18"/>
          <w:szCs w:val="18"/>
        </w:rPr>
        <w:t>Tabla 2</w:t>
      </w:r>
      <w:r w:rsidRPr="00E1385B">
        <w:rPr>
          <w:rFonts w:cs="Arial"/>
          <w:b/>
          <w:sz w:val="18"/>
          <w:szCs w:val="18"/>
        </w:rPr>
        <w:t xml:space="preserve">. </w:t>
      </w:r>
      <w:r w:rsidRPr="00BF503C">
        <w:rPr>
          <w:rFonts w:cs="Arial"/>
          <w:b/>
          <w:sz w:val="18"/>
          <w:szCs w:val="18"/>
        </w:rPr>
        <w:t>ECUACIONES A UTILIZAR PARA MÉTODOS DE MEDIDA DE CREATININA CON TRAZABILIDAD A IDMS (ESTANDARIZADOS)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88"/>
      </w:tblGrid>
      <w:tr w:rsidR="00E81B3D" w:rsidRPr="00BA3ED8" w:rsidTr="00B1318D">
        <w:trPr>
          <w:trHeight w:val="309"/>
        </w:trPr>
        <w:tc>
          <w:tcPr>
            <w:tcW w:w="8788" w:type="dxa"/>
            <w:vAlign w:val="center"/>
          </w:tcPr>
          <w:p w:rsidR="00E81B3D" w:rsidRPr="00BA3ED8" w:rsidRDefault="00E81B3D" w:rsidP="00B1318D">
            <w:pPr>
              <w:jc w:val="left"/>
              <w:rPr>
                <w:b/>
                <w:sz w:val="16"/>
                <w:szCs w:val="16"/>
              </w:rPr>
            </w:pPr>
            <w:r w:rsidRPr="00BA3ED8">
              <w:rPr>
                <w:b/>
                <w:sz w:val="16"/>
                <w:szCs w:val="16"/>
              </w:rPr>
              <w:t>Ecuación CKD-EPI</w:t>
            </w:r>
          </w:p>
        </w:tc>
      </w:tr>
      <w:tr w:rsidR="00E81B3D" w:rsidRPr="003D0637" w:rsidTr="00B1318D">
        <w:trPr>
          <w:trHeight w:val="245"/>
        </w:trPr>
        <w:tc>
          <w:tcPr>
            <w:tcW w:w="8788" w:type="dxa"/>
            <w:vAlign w:val="center"/>
          </w:tcPr>
          <w:p w:rsidR="00E81B3D" w:rsidRPr="00BA3ED8" w:rsidRDefault="00E81B3D" w:rsidP="00B1318D">
            <w:pPr>
              <w:rPr>
                <w:sz w:val="16"/>
                <w:szCs w:val="16"/>
              </w:rPr>
            </w:pPr>
            <w:r w:rsidRPr="00BA3ED8">
              <w:rPr>
                <w:sz w:val="16"/>
                <w:szCs w:val="16"/>
              </w:rPr>
              <w:t>Etnia blanca:</w:t>
            </w:r>
          </w:p>
          <w:p w:rsidR="00E81B3D" w:rsidRPr="00BA3ED8" w:rsidRDefault="00E81B3D" w:rsidP="00244544">
            <w:pPr>
              <w:ind w:leftChars="4962" w:left="11909"/>
              <w:rPr>
                <w:sz w:val="16"/>
                <w:szCs w:val="16"/>
              </w:rPr>
            </w:pPr>
          </w:p>
          <w:p w:rsidR="00E81B3D" w:rsidRPr="00705C12" w:rsidRDefault="00E81B3D" w:rsidP="00244544">
            <w:pPr>
              <w:ind w:leftChars="4962" w:left="11909"/>
              <w:rPr>
                <w:sz w:val="16"/>
                <w:szCs w:val="16"/>
              </w:rPr>
            </w:pPr>
          </w:p>
          <w:p w:rsidR="00E81B3D" w:rsidRPr="00705C12" w:rsidRDefault="00E81B3D" w:rsidP="00705C12">
            <w:pPr>
              <w:ind w:left="709"/>
              <w:rPr>
                <w:sz w:val="16"/>
                <w:szCs w:val="16"/>
              </w:rPr>
            </w:pPr>
            <w:r w:rsidRPr="00705C12">
              <w:rPr>
                <w:sz w:val="16"/>
                <w:szCs w:val="16"/>
              </w:rPr>
              <w:t>Mujeres</w:t>
            </w:r>
          </w:p>
          <w:p w:rsidR="00E81B3D" w:rsidRPr="00705C12" w:rsidRDefault="00E81B3D" w:rsidP="00705C12">
            <w:pPr>
              <w:ind w:left="1418"/>
              <w:rPr>
                <w:sz w:val="16"/>
                <w:szCs w:val="16"/>
              </w:rPr>
            </w:pPr>
            <w:r w:rsidRPr="00705C12">
              <w:rPr>
                <w:sz w:val="16"/>
                <w:szCs w:val="16"/>
              </w:rPr>
              <w:t xml:space="preserve">Creatinina </w:t>
            </w:r>
            <w:r w:rsidRPr="00705C12">
              <w:rPr>
                <w:sz w:val="16"/>
                <w:szCs w:val="16"/>
                <w:u w:val="single"/>
              </w:rPr>
              <w:t xml:space="preserve">&lt; </w:t>
            </w:r>
            <w:r w:rsidRPr="00705C12">
              <w:rPr>
                <w:sz w:val="16"/>
                <w:szCs w:val="16"/>
              </w:rPr>
              <w:t xml:space="preserve">0,7 mg/dL FGe= 144 x (creatinina/0,7) </w:t>
            </w:r>
            <w:r w:rsidRPr="00705C12">
              <w:rPr>
                <w:sz w:val="16"/>
                <w:szCs w:val="16"/>
                <w:vertAlign w:val="superscript"/>
              </w:rPr>
              <w:t>-0,329</w:t>
            </w:r>
            <w:r w:rsidRPr="00705C12">
              <w:rPr>
                <w:sz w:val="16"/>
                <w:szCs w:val="16"/>
              </w:rPr>
              <w:t xml:space="preserve"> x (0,993)</w:t>
            </w:r>
            <w:r w:rsidRPr="00705C12">
              <w:rPr>
                <w:sz w:val="16"/>
                <w:szCs w:val="16"/>
                <w:vertAlign w:val="superscript"/>
              </w:rPr>
              <w:t xml:space="preserve">edad </w:t>
            </w:r>
          </w:p>
          <w:p w:rsidR="00E81B3D" w:rsidRPr="000A7FBB" w:rsidRDefault="00E81B3D" w:rsidP="00705C12">
            <w:pPr>
              <w:ind w:left="1418"/>
              <w:rPr>
                <w:sz w:val="16"/>
                <w:szCs w:val="16"/>
              </w:rPr>
            </w:pPr>
            <w:r w:rsidRPr="000A7FBB">
              <w:rPr>
                <w:sz w:val="16"/>
                <w:szCs w:val="16"/>
              </w:rPr>
              <w:t xml:space="preserve">Creatinina &gt; 0,7 mg/dL FGe= 144 x (creatinina/0,7) </w:t>
            </w:r>
            <w:r w:rsidRPr="000A7FBB">
              <w:rPr>
                <w:sz w:val="16"/>
                <w:szCs w:val="16"/>
                <w:vertAlign w:val="superscript"/>
              </w:rPr>
              <w:t xml:space="preserve">-1,209 </w:t>
            </w:r>
            <w:r w:rsidRPr="000A7FBB">
              <w:rPr>
                <w:sz w:val="16"/>
                <w:szCs w:val="16"/>
              </w:rPr>
              <w:t>x (0,993)</w:t>
            </w:r>
            <w:r w:rsidRPr="000A7FBB">
              <w:rPr>
                <w:sz w:val="16"/>
                <w:szCs w:val="16"/>
                <w:vertAlign w:val="superscript"/>
              </w:rPr>
              <w:t>edad</w:t>
            </w:r>
            <w:r w:rsidRPr="000A7FBB">
              <w:rPr>
                <w:sz w:val="16"/>
                <w:szCs w:val="16"/>
              </w:rPr>
              <w:t xml:space="preserve"> </w:t>
            </w:r>
          </w:p>
          <w:p w:rsidR="00E81B3D" w:rsidRPr="000A7FBB" w:rsidRDefault="00E81B3D" w:rsidP="00244544">
            <w:pPr>
              <w:ind w:leftChars="3722" w:left="8933"/>
              <w:rPr>
                <w:sz w:val="16"/>
                <w:szCs w:val="16"/>
              </w:rPr>
            </w:pPr>
          </w:p>
          <w:p w:rsidR="00E81B3D" w:rsidRPr="000A7FBB" w:rsidRDefault="00E81B3D" w:rsidP="00705C12">
            <w:pPr>
              <w:ind w:left="709"/>
              <w:rPr>
                <w:sz w:val="16"/>
                <w:szCs w:val="16"/>
              </w:rPr>
            </w:pPr>
            <w:r w:rsidRPr="000A7FBB">
              <w:rPr>
                <w:sz w:val="16"/>
                <w:szCs w:val="16"/>
              </w:rPr>
              <w:t>Hombres</w:t>
            </w:r>
          </w:p>
          <w:p w:rsidR="00E81B3D" w:rsidRPr="000A7FBB" w:rsidRDefault="00E81B3D" w:rsidP="00705C12">
            <w:pPr>
              <w:ind w:left="1418"/>
              <w:rPr>
                <w:sz w:val="16"/>
                <w:szCs w:val="16"/>
              </w:rPr>
            </w:pPr>
            <w:r w:rsidRPr="000A7FBB">
              <w:rPr>
                <w:sz w:val="16"/>
                <w:szCs w:val="16"/>
              </w:rPr>
              <w:t xml:space="preserve">Creatinina </w:t>
            </w:r>
            <w:r w:rsidRPr="000A7FBB">
              <w:rPr>
                <w:sz w:val="16"/>
                <w:szCs w:val="16"/>
                <w:u w:val="single"/>
              </w:rPr>
              <w:t xml:space="preserve">&lt; </w:t>
            </w:r>
            <w:r w:rsidRPr="000A7FBB">
              <w:rPr>
                <w:sz w:val="16"/>
                <w:szCs w:val="16"/>
              </w:rPr>
              <w:t xml:space="preserve"> 0,9 mg/dL FGe= 141 x (creatinina/0,9) </w:t>
            </w:r>
            <w:r w:rsidRPr="000A7FBB">
              <w:rPr>
                <w:sz w:val="16"/>
                <w:szCs w:val="16"/>
                <w:vertAlign w:val="superscript"/>
              </w:rPr>
              <w:t>-0,411</w:t>
            </w:r>
            <w:r w:rsidRPr="000A7FBB">
              <w:rPr>
                <w:sz w:val="16"/>
                <w:szCs w:val="16"/>
              </w:rPr>
              <w:t xml:space="preserve"> x (0,993)</w:t>
            </w:r>
            <w:r w:rsidRPr="000A7FBB">
              <w:rPr>
                <w:sz w:val="16"/>
                <w:szCs w:val="16"/>
                <w:vertAlign w:val="superscript"/>
              </w:rPr>
              <w:t>edad</w:t>
            </w:r>
            <w:r w:rsidRPr="000A7FBB">
              <w:rPr>
                <w:sz w:val="16"/>
                <w:szCs w:val="16"/>
              </w:rPr>
              <w:t xml:space="preserve"> </w:t>
            </w:r>
          </w:p>
          <w:p w:rsidR="00E81B3D" w:rsidRPr="000A7FBB" w:rsidRDefault="00E81B3D" w:rsidP="00705C12">
            <w:pPr>
              <w:ind w:left="1418"/>
              <w:rPr>
                <w:sz w:val="16"/>
                <w:szCs w:val="16"/>
              </w:rPr>
            </w:pPr>
            <w:r w:rsidRPr="000A7FBB">
              <w:rPr>
                <w:sz w:val="16"/>
                <w:szCs w:val="16"/>
              </w:rPr>
              <w:t xml:space="preserve">Creatinina &gt; 0,9 mg/dL FGe= 141 x (creatinina/0,9) </w:t>
            </w:r>
            <w:r w:rsidRPr="000A7FBB">
              <w:rPr>
                <w:sz w:val="16"/>
                <w:szCs w:val="16"/>
                <w:vertAlign w:val="superscript"/>
              </w:rPr>
              <w:t>-1,209</w:t>
            </w:r>
            <w:r w:rsidRPr="000A7FBB">
              <w:rPr>
                <w:sz w:val="16"/>
                <w:szCs w:val="16"/>
              </w:rPr>
              <w:t xml:space="preserve"> x (0,993)</w:t>
            </w:r>
            <w:r w:rsidRPr="000A7FBB">
              <w:rPr>
                <w:sz w:val="16"/>
                <w:szCs w:val="16"/>
                <w:vertAlign w:val="superscript"/>
              </w:rPr>
              <w:t>edad</w:t>
            </w:r>
            <w:r w:rsidRPr="000A7FBB">
              <w:rPr>
                <w:sz w:val="16"/>
                <w:szCs w:val="16"/>
              </w:rPr>
              <w:t xml:space="preserve"> </w:t>
            </w:r>
          </w:p>
          <w:p w:rsidR="00E81B3D" w:rsidRPr="000A7FBB" w:rsidRDefault="00E81B3D" w:rsidP="00705C12">
            <w:pPr>
              <w:ind w:left="1418"/>
              <w:rPr>
                <w:sz w:val="16"/>
                <w:szCs w:val="16"/>
              </w:rPr>
            </w:pPr>
          </w:p>
          <w:p w:rsidR="00E81B3D" w:rsidRPr="000A7FBB" w:rsidRDefault="00E81B3D" w:rsidP="00705C12">
            <w:pPr>
              <w:rPr>
                <w:sz w:val="16"/>
                <w:szCs w:val="16"/>
              </w:rPr>
            </w:pPr>
            <w:r w:rsidRPr="000A7FBB">
              <w:rPr>
                <w:sz w:val="16"/>
                <w:szCs w:val="16"/>
              </w:rPr>
              <w:t>Etnia negra:</w:t>
            </w:r>
          </w:p>
          <w:p w:rsidR="00E81B3D" w:rsidRPr="000A7FBB" w:rsidRDefault="00E81B3D" w:rsidP="00705C12">
            <w:pPr>
              <w:ind w:left="709"/>
              <w:rPr>
                <w:sz w:val="16"/>
                <w:szCs w:val="16"/>
              </w:rPr>
            </w:pPr>
            <w:r w:rsidRPr="000A7FBB">
              <w:rPr>
                <w:sz w:val="16"/>
                <w:szCs w:val="16"/>
              </w:rPr>
              <w:t>Mujeres</w:t>
            </w:r>
          </w:p>
          <w:p w:rsidR="00E81B3D" w:rsidRPr="000A7FBB" w:rsidRDefault="00E81B3D" w:rsidP="00705C12">
            <w:pPr>
              <w:ind w:left="1418"/>
              <w:rPr>
                <w:sz w:val="16"/>
                <w:szCs w:val="16"/>
              </w:rPr>
            </w:pPr>
            <w:r w:rsidRPr="000A7FBB">
              <w:rPr>
                <w:sz w:val="16"/>
                <w:szCs w:val="16"/>
              </w:rPr>
              <w:t xml:space="preserve">Creatinina </w:t>
            </w:r>
            <w:r w:rsidRPr="000A7FBB">
              <w:rPr>
                <w:sz w:val="16"/>
                <w:szCs w:val="16"/>
                <w:u w:val="single"/>
              </w:rPr>
              <w:t xml:space="preserve">&lt; </w:t>
            </w:r>
            <w:r w:rsidRPr="000A7FBB">
              <w:rPr>
                <w:sz w:val="16"/>
                <w:szCs w:val="16"/>
              </w:rPr>
              <w:t xml:space="preserve"> 0,7 mg/dL FGe= 166 x (creatinina/0,7) </w:t>
            </w:r>
            <w:r w:rsidRPr="000A7FBB">
              <w:rPr>
                <w:sz w:val="16"/>
                <w:szCs w:val="16"/>
                <w:vertAlign w:val="superscript"/>
              </w:rPr>
              <w:t>-0,329</w:t>
            </w:r>
            <w:r w:rsidRPr="000A7FBB">
              <w:rPr>
                <w:sz w:val="16"/>
                <w:szCs w:val="16"/>
              </w:rPr>
              <w:t xml:space="preserve"> x (0,993)</w:t>
            </w:r>
            <w:r w:rsidRPr="000A7FBB">
              <w:rPr>
                <w:sz w:val="16"/>
                <w:szCs w:val="16"/>
                <w:vertAlign w:val="superscript"/>
              </w:rPr>
              <w:t>edad</w:t>
            </w:r>
            <w:r w:rsidRPr="000A7FBB">
              <w:rPr>
                <w:sz w:val="16"/>
                <w:szCs w:val="16"/>
              </w:rPr>
              <w:t xml:space="preserve"> </w:t>
            </w:r>
          </w:p>
          <w:p w:rsidR="00E81B3D" w:rsidRPr="000A7FBB" w:rsidRDefault="00E81B3D" w:rsidP="00705C12">
            <w:pPr>
              <w:ind w:left="1418"/>
              <w:rPr>
                <w:sz w:val="16"/>
                <w:szCs w:val="16"/>
              </w:rPr>
            </w:pPr>
            <w:r w:rsidRPr="000A7FBB">
              <w:rPr>
                <w:sz w:val="16"/>
                <w:szCs w:val="16"/>
              </w:rPr>
              <w:t xml:space="preserve">Creatinina &gt; 0,7 mg/dL FGe= 166 x (creatinina/0,7) </w:t>
            </w:r>
            <w:r w:rsidRPr="000A7FBB">
              <w:rPr>
                <w:sz w:val="16"/>
                <w:szCs w:val="16"/>
                <w:vertAlign w:val="superscript"/>
              </w:rPr>
              <w:t xml:space="preserve">-1,209 </w:t>
            </w:r>
            <w:r w:rsidRPr="000A7FBB">
              <w:rPr>
                <w:sz w:val="16"/>
                <w:szCs w:val="16"/>
              </w:rPr>
              <w:t>x (0,993)</w:t>
            </w:r>
            <w:r w:rsidRPr="000A7FBB">
              <w:rPr>
                <w:sz w:val="16"/>
                <w:szCs w:val="16"/>
                <w:vertAlign w:val="superscript"/>
              </w:rPr>
              <w:t>edad</w:t>
            </w:r>
            <w:r w:rsidRPr="000A7FBB">
              <w:rPr>
                <w:sz w:val="16"/>
                <w:szCs w:val="16"/>
              </w:rPr>
              <w:t xml:space="preserve"> </w:t>
            </w:r>
          </w:p>
          <w:p w:rsidR="00E81B3D" w:rsidRPr="000A7FBB" w:rsidRDefault="00E81B3D" w:rsidP="00705C12">
            <w:pPr>
              <w:ind w:left="709"/>
              <w:rPr>
                <w:sz w:val="16"/>
                <w:szCs w:val="16"/>
              </w:rPr>
            </w:pPr>
            <w:r w:rsidRPr="000A7FBB">
              <w:rPr>
                <w:sz w:val="16"/>
                <w:szCs w:val="16"/>
              </w:rPr>
              <w:t>Hombres</w:t>
            </w:r>
          </w:p>
          <w:p w:rsidR="00E81B3D" w:rsidRPr="000A7FBB" w:rsidRDefault="00E81B3D" w:rsidP="00705C12">
            <w:pPr>
              <w:ind w:left="1418"/>
              <w:rPr>
                <w:sz w:val="16"/>
                <w:szCs w:val="16"/>
              </w:rPr>
            </w:pPr>
            <w:r w:rsidRPr="000A7FBB">
              <w:rPr>
                <w:sz w:val="16"/>
                <w:szCs w:val="16"/>
              </w:rPr>
              <w:t xml:space="preserve">Creatinina </w:t>
            </w:r>
            <w:r w:rsidRPr="000A7FBB">
              <w:rPr>
                <w:sz w:val="16"/>
                <w:szCs w:val="16"/>
                <w:u w:val="single"/>
              </w:rPr>
              <w:t xml:space="preserve">&lt; </w:t>
            </w:r>
            <w:r w:rsidRPr="000A7FBB">
              <w:rPr>
                <w:sz w:val="16"/>
                <w:szCs w:val="16"/>
              </w:rPr>
              <w:t xml:space="preserve"> 0,9 mg/dL FGe= 163 x (creatinina/0,9) </w:t>
            </w:r>
            <w:r w:rsidRPr="000A7FBB">
              <w:rPr>
                <w:sz w:val="16"/>
                <w:szCs w:val="16"/>
                <w:vertAlign w:val="superscript"/>
              </w:rPr>
              <w:t>-0,411</w:t>
            </w:r>
            <w:r w:rsidRPr="000A7FBB">
              <w:rPr>
                <w:sz w:val="16"/>
                <w:szCs w:val="16"/>
              </w:rPr>
              <w:t xml:space="preserve"> x (0,993)</w:t>
            </w:r>
            <w:r w:rsidRPr="000A7FBB">
              <w:rPr>
                <w:sz w:val="16"/>
                <w:szCs w:val="16"/>
                <w:vertAlign w:val="superscript"/>
              </w:rPr>
              <w:t>edad</w:t>
            </w:r>
            <w:r w:rsidRPr="000A7FBB">
              <w:rPr>
                <w:sz w:val="16"/>
                <w:szCs w:val="16"/>
              </w:rPr>
              <w:t xml:space="preserve"> </w:t>
            </w:r>
          </w:p>
          <w:p w:rsidR="00E81B3D" w:rsidRPr="000A7FBB" w:rsidRDefault="00E81B3D" w:rsidP="00705C12">
            <w:pPr>
              <w:ind w:left="1418"/>
              <w:rPr>
                <w:sz w:val="16"/>
                <w:szCs w:val="16"/>
              </w:rPr>
            </w:pPr>
            <w:r w:rsidRPr="000A7FBB">
              <w:rPr>
                <w:sz w:val="16"/>
                <w:szCs w:val="16"/>
              </w:rPr>
              <w:t xml:space="preserve">Creatinina &gt; 0,9 mg/dL FGe= 163 x (creatinina/0,9) </w:t>
            </w:r>
            <w:r w:rsidRPr="000A7FBB">
              <w:rPr>
                <w:sz w:val="16"/>
                <w:szCs w:val="16"/>
                <w:vertAlign w:val="superscript"/>
              </w:rPr>
              <w:t>-1,209</w:t>
            </w:r>
            <w:r w:rsidRPr="000A7FBB">
              <w:rPr>
                <w:sz w:val="16"/>
                <w:szCs w:val="16"/>
              </w:rPr>
              <w:t xml:space="preserve"> x (0,993)</w:t>
            </w:r>
            <w:r w:rsidRPr="000A7FBB">
              <w:rPr>
                <w:sz w:val="16"/>
                <w:szCs w:val="16"/>
                <w:vertAlign w:val="superscript"/>
              </w:rPr>
              <w:t>edad</w:t>
            </w:r>
          </w:p>
        </w:tc>
      </w:tr>
      <w:tr w:rsidR="00E81B3D" w:rsidRPr="00BA3ED8" w:rsidTr="00B1318D">
        <w:trPr>
          <w:trHeight w:val="245"/>
        </w:trPr>
        <w:tc>
          <w:tcPr>
            <w:tcW w:w="8788" w:type="dxa"/>
            <w:vAlign w:val="center"/>
          </w:tcPr>
          <w:p w:rsidR="00E81B3D" w:rsidRPr="00791A0D" w:rsidRDefault="00E81B3D" w:rsidP="00B1318D">
            <w:pPr>
              <w:jc w:val="left"/>
              <w:rPr>
                <w:b/>
                <w:sz w:val="16"/>
                <w:szCs w:val="16"/>
              </w:rPr>
            </w:pPr>
            <w:r w:rsidRPr="006807B1">
              <w:rPr>
                <w:b/>
                <w:sz w:val="16"/>
                <w:szCs w:val="16"/>
              </w:rPr>
              <w:t>Ecuación MDRD-IDMS</w:t>
            </w:r>
          </w:p>
        </w:tc>
      </w:tr>
      <w:tr w:rsidR="00E81B3D" w:rsidRPr="00BA3ED8" w:rsidTr="00B1318D">
        <w:trPr>
          <w:trHeight w:val="245"/>
        </w:trPr>
        <w:tc>
          <w:tcPr>
            <w:tcW w:w="8788" w:type="dxa"/>
            <w:vAlign w:val="center"/>
          </w:tcPr>
          <w:p w:rsidR="00E81B3D" w:rsidRPr="003F1941" w:rsidRDefault="00E81B3D" w:rsidP="00B1318D">
            <w:pPr>
              <w:jc w:val="left"/>
              <w:rPr>
                <w:sz w:val="16"/>
                <w:szCs w:val="16"/>
              </w:rPr>
            </w:pPr>
            <w:r w:rsidRPr="003F1941">
              <w:rPr>
                <w:sz w:val="16"/>
                <w:szCs w:val="16"/>
              </w:rPr>
              <w:t>FGe= 175 x (creatinina)</w:t>
            </w:r>
            <w:r w:rsidRPr="003F1941">
              <w:rPr>
                <w:sz w:val="16"/>
                <w:szCs w:val="16"/>
                <w:vertAlign w:val="superscript"/>
              </w:rPr>
              <w:t xml:space="preserve">-1,154 </w:t>
            </w:r>
            <w:r w:rsidRPr="003F1941">
              <w:rPr>
                <w:sz w:val="16"/>
                <w:szCs w:val="16"/>
              </w:rPr>
              <w:t>x (edad)</w:t>
            </w:r>
            <w:r w:rsidRPr="003F1941">
              <w:rPr>
                <w:sz w:val="16"/>
                <w:szCs w:val="16"/>
                <w:vertAlign w:val="superscript"/>
              </w:rPr>
              <w:t>-0,203</w:t>
            </w:r>
            <w:r w:rsidRPr="003F1941">
              <w:rPr>
                <w:sz w:val="16"/>
                <w:szCs w:val="16"/>
              </w:rPr>
              <w:t xml:space="preserve"> x 0,742 (si mujer) x 1,21 (si etnia negra)</w:t>
            </w:r>
          </w:p>
        </w:tc>
      </w:tr>
    </w:tbl>
    <w:p w:rsidR="00E81B3D" w:rsidRDefault="00E81B3D"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7908A6" w:rsidRDefault="007908A6" w:rsidP="007E30EB">
      <w:pPr>
        <w:spacing w:before="120" w:after="120"/>
        <w:ind w:left="993"/>
        <w:rPr>
          <w:rFonts w:cs="Arial"/>
          <w:b/>
          <w:sz w:val="18"/>
          <w:szCs w:val="18"/>
        </w:rPr>
      </w:pPr>
    </w:p>
    <w:p w:rsidR="00E81B3D" w:rsidRDefault="00E81B3D" w:rsidP="00904912">
      <w:pPr>
        <w:spacing w:before="120" w:after="120"/>
        <w:ind w:left="993"/>
        <w:jc w:val="left"/>
        <w:rPr>
          <w:rFonts w:cs="Arial"/>
          <w:sz w:val="20"/>
          <w:szCs w:val="20"/>
        </w:rPr>
      </w:pPr>
      <w:r>
        <w:rPr>
          <w:rFonts w:cs="Arial"/>
          <w:b/>
          <w:sz w:val="18"/>
          <w:szCs w:val="18"/>
        </w:rPr>
        <w:lastRenderedPageBreak/>
        <w:t>Tabla 3</w:t>
      </w:r>
      <w:r w:rsidRPr="00E1385B">
        <w:rPr>
          <w:rFonts w:cs="Arial"/>
          <w:b/>
          <w:sz w:val="18"/>
          <w:szCs w:val="18"/>
        </w:rPr>
        <w:t xml:space="preserve">. </w:t>
      </w:r>
      <w:r w:rsidRPr="006530DA">
        <w:rPr>
          <w:rFonts w:cs="Arial"/>
          <w:b/>
          <w:sz w:val="18"/>
          <w:szCs w:val="18"/>
        </w:rPr>
        <w:t>ECUACIONES A UTILIZAR PARA MÉTODOS DE MEDIDA DE CREATININA SIN TRAZABILIDAD A IDMS (NO ESTANDARIZADOS)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88"/>
      </w:tblGrid>
      <w:tr w:rsidR="00E81B3D" w:rsidRPr="00A16E13" w:rsidTr="00B1318D">
        <w:trPr>
          <w:trHeight w:val="296"/>
        </w:trPr>
        <w:tc>
          <w:tcPr>
            <w:tcW w:w="8788" w:type="dxa"/>
            <w:vAlign w:val="center"/>
          </w:tcPr>
          <w:p w:rsidR="00E81B3D" w:rsidRPr="006F7A3E" w:rsidRDefault="00E81B3D" w:rsidP="00B1318D">
            <w:pPr>
              <w:jc w:val="left"/>
              <w:rPr>
                <w:b/>
                <w:sz w:val="16"/>
                <w:szCs w:val="16"/>
              </w:rPr>
            </w:pPr>
            <w:r w:rsidRPr="006F7A3E">
              <w:rPr>
                <w:b/>
                <w:sz w:val="16"/>
                <w:szCs w:val="16"/>
              </w:rPr>
              <w:t>Ecuación MDRD-4</w:t>
            </w:r>
          </w:p>
        </w:tc>
      </w:tr>
      <w:tr w:rsidR="00E81B3D" w:rsidRPr="00A16E13" w:rsidTr="00B1318D">
        <w:trPr>
          <w:trHeight w:val="296"/>
        </w:trPr>
        <w:tc>
          <w:tcPr>
            <w:tcW w:w="8788" w:type="dxa"/>
            <w:vAlign w:val="center"/>
          </w:tcPr>
          <w:p w:rsidR="00E81B3D" w:rsidRPr="00BA3ED8" w:rsidRDefault="00E81B3D" w:rsidP="00B1318D">
            <w:pPr>
              <w:jc w:val="left"/>
              <w:rPr>
                <w:sz w:val="16"/>
                <w:szCs w:val="16"/>
              </w:rPr>
            </w:pPr>
            <w:r w:rsidRPr="00BA3ED8">
              <w:rPr>
                <w:sz w:val="16"/>
                <w:szCs w:val="16"/>
              </w:rPr>
              <w:t>FGe= 186 x (creatinina)</w:t>
            </w:r>
            <w:r w:rsidRPr="00BA3ED8">
              <w:rPr>
                <w:sz w:val="16"/>
                <w:szCs w:val="16"/>
                <w:vertAlign w:val="superscript"/>
              </w:rPr>
              <w:t>-1,154</w:t>
            </w:r>
            <w:r w:rsidRPr="00BA3ED8">
              <w:rPr>
                <w:sz w:val="16"/>
                <w:szCs w:val="16"/>
              </w:rPr>
              <w:t xml:space="preserve"> x (edad)</w:t>
            </w:r>
            <w:r w:rsidRPr="00BA3ED8">
              <w:rPr>
                <w:sz w:val="16"/>
                <w:szCs w:val="16"/>
                <w:vertAlign w:val="superscript"/>
              </w:rPr>
              <w:t xml:space="preserve">-0,203 </w:t>
            </w:r>
            <w:r w:rsidRPr="00BA3ED8">
              <w:rPr>
                <w:sz w:val="16"/>
                <w:szCs w:val="16"/>
              </w:rPr>
              <w:t>x 0,742 (si mujer) x 1,21 (si etnia negra)</w:t>
            </w:r>
          </w:p>
        </w:tc>
      </w:tr>
    </w:tbl>
    <w:p w:rsidR="00E81B3D" w:rsidRPr="0019719E" w:rsidRDefault="00E81B3D" w:rsidP="007E30EB">
      <w:pPr>
        <w:spacing w:before="120"/>
        <w:ind w:left="992"/>
        <w:rPr>
          <w:rFonts w:cs="Arial"/>
          <w:sz w:val="18"/>
          <w:szCs w:val="18"/>
          <w:lang w:val="pt-BR"/>
        </w:rPr>
      </w:pPr>
      <w:r w:rsidRPr="0019719E">
        <w:rPr>
          <w:rFonts w:cs="Arial"/>
          <w:sz w:val="18"/>
          <w:szCs w:val="18"/>
          <w:lang w:val="pt-BR"/>
        </w:rPr>
        <w:t xml:space="preserve">FGe= </w:t>
      </w:r>
      <w:r>
        <w:rPr>
          <w:rFonts w:cs="Arial"/>
          <w:sz w:val="18"/>
          <w:szCs w:val="18"/>
          <w:lang w:val="pt-BR"/>
        </w:rPr>
        <w:t>filtrado glomerular estimado (ml</w:t>
      </w:r>
      <w:r w:rsidRPr="0019719E">
        <w:rPr>
          <w:rFonts w:cs="Arial"/>
          <w:sz w:val="18"/>
          <w:szCs w:val="18"/>
          <w:lang w:val="pt-BR"/>
        </w:rPr>
        <w:t>/min/1,73m</w:t>
      </w:r>
      <w:r w:rsidRPr="00F26AF3">
        <w:rPr>
          <w:rFonts w:cs="Arial"/>
          <w:sz w:val="18"/>
          <w:szCs w:val="18"/>
          <w:vertAlign w:val="superscript"/>
          <w:lang w:val="pt-BR"/>
        </w:rPr>
        <w:t>2</w:t>
      </w:r>
      <w:r w:rsidRPr="0019719E">
        <w:rPr>
          <w:rFonts w:cs="Arial"/>
          <w:sz w:val="18"/>
          <w:szCs w:val="18"/>
          <w:lang w:val="pt-BR"/>
        </w:rPr>
        <w:t>)</w:t>
      </w:r>
    </w:p>
    <w:p w:rsidR="00E81B3D" w:rsidRPr="00BA3ED8" w:rsidRDefault="00E81B3D" w:rsidP="007E30EB">
      <w:pPr>
        <w:ind w:left="992"/>
        <w:rPr>
          <w:rFonts w:cs="Arial"/>
          <w:sz w:val="18"/>
          <w:szCs w:val="18"/>
        </w:rPr>
      </w:pPr>
      <w:r w:rsidRPr="00BA3ED8">
        <w:rPr>
          <w:rFonts w:cs="Arial"/>
          <w:sz w:val="18"/>
          <w:szCs w:val="18"/>
        </w:rPr>
        <w:t>Creatinina = concentración sérica de creatinina en mg/dL</w:t>
      </w:r>
    </w:p>
    <w:p w:rsidR="00E81B3D" w:rsidRPr="006530DA" w:rsidRDefault="00E81B3D" w:rsidP="007E30EB">
      <w:pPr>
        <w:ind w:left="992"/>
        <w:rPr>
          <w:rFonts w:cs="Arial"/>
          <w:sz w:val="18"/>
          <w:szCs w:val="18"/>
        </w:rPr>
      </w:pPr>
      <w:r w:rsidRPr="00BA3ED8">
        <w:rPr>
          <w:rFonts w:cs="Arial"/>
          <w:sz w:val="18"/>
          <w:szCs w:val="18"/>
        </w:rPr>
        <w:t>Edad en años</w:t>
      </w:r>
    </w:p>
    <w:p w:rsidR="00E81B3D" w:rsidRDefault="00E81B3D" w:rsidP="007E30EB">
      <w:pPr>
        <w:spacing w:before="120" w:after="120"/>
        <w:ind w:left="993"/>
        <w:rPr>
          <w:rFonts w:cs="Arial"/>
          <w:sz w:val="20"/>
          <w:szCs w:val="20"/>
        </w:rPr>
      </w:pPr>
    </w:p>
    <w:p w:rsidR="00E81B3D" w:rsidRPr="003F1941" w:rsidRDefault="00E81B3D" w:rsidP="007E30EB">
      <w:pPr>
        <w:spacing w:before="120" w:after="120"/>
        <w:ind w:left="993"/>
        <w:rPr>
          <w:rFonts w:cs="Arial"/>
          <w:sz w:val="20"/>
          <w:szCs w:val="20"/>
        </w:rPr>
      </w:pPr>
      <w:r w:rsidRPr="006530DA">
        <w:rPr>
          <w:rFonts w:cs="Arial"/>
          <w:sz w:val="20"/>
          <w:szCs w:val="20"/>
        </w:rPr>
        <w:t xml:space="preserve">El uso de la ecuación de </w:t>
      </w:r>
      <w:r w:rsidRPr="006530DA">
        <w:rPr>
          <w:rFonts w:cs="Arial"/>
          <w:b/>
          <w:sz w:val="20"/>
          <w:szCs w:val="20"/>
        </w:rPr>
        <w:t>Cock</w:t>
      </w:r>
      <w:r>
        <w:rPr>
          <w:rFonts w:cs="Arial"/>
          <w:b/>
          <w:sz w:val="20"/>
          <w:szCs w:val="20"/>
        </w:rPr>
        <w:t>c</w:t>
      </w:r>
      <w:r w:rsidRPr="006530DA">
        <w:rPr>
          <w:rFonts w:cs="Arial"/>
          <w:b/>
          <w:sz w:val="20"/>
          <w:szCs w:val="20"/>
        </w:rPr>
        <w:t>roft-Gault (C-G)</w:t>
      </w:r>
      <w:r w:rsidRPr="006530DA">
        <w:rPr>
          <w:rFonts w:cs="Arial"/>
          <w:sz w:val="20"/>
          <w:szCs w:val="20"/>
        </w:rPr>
        <w:t xml:space="preserve">, aunque se ha utilizado clásicamente en el ajuste de </w:t>
      </w:r>
      <w:r w:rsidRPr="00165992">
        <w:rPr>
          <w:rFonts w:cs="Arial"/>
          <w:sz w:val="20"/>
          <w:szCs w:val="20"/>
        </w:rPr>
        <w:t xml:space="preserve">dosis de fármacos y ha sido referencia para la valoración de estados de hiperfiltración, debería desaconsejarse. Dicha ecuación no ha sido reformulada para valores de creatinina obtenidos por los </w:t>
      </w:r>
      <w:r w:rsidRPr="003F1941">
        <w:rPr>
          <w:rFonts w:cs="Arial"/>
          <w:sz w:val="20"/>
          <w:szCs w:val="20"/>
        </w:rPr>
        <w:t>procedimientos actuales. Los valores de creatinina obtenidos, si se utilizan procedimientos estandarizados, resultan entre 10-20% más elevados, lo que conlleva una sobreestimación de FG. El FG obtenido a partir de MDRD es útil en cuanto al ajuste de dosis de fármacos ya que correlaciona mejor que el obtenido por C-G para valores inferiores a 60 mL/min/1,73 m</w:t>
      </w:r>
      <w:r w:rsidRPr="003F1941">
        <w:rPr>
          <w:rFonts w:cs="Arial"/>
          <w:sz w:val="20"/>
          <w:szCs w:val="20"/>
          <w:vertAlign w:val="superscript"/>
        </w:rPr>
        <w:t>2</w:t>
      </w:r>
      <w:r w:rsidRPr="003F1941">
        <w:rPr>
          <w:rFonts w:cs="Arial"/>
          <w:sz w:val="20"/>
          <w:szCs w:val="20"/>
        </w:rPr>
        <w:t xml:space="preserve">, que son los mayoritariamente susceptibles de necesidad de ajuste de dosis y están disponibles en los informes de los laboratorios clínicos al contrario que C-G </w:t>
      </w:r>
      <w:bookmarkStart w:id="16" w:name="_Ref343107474"/>
      <w:r w:rsidRPr="003F1941">
        <w:rPr>
          <w:rStyle w:val="Refdenotaalfinal"/>
          <w:sz w:val="20"/>
          <w:szCs w:val="20"/>
        </w:rPr>
        <w:endnoteReference w:id="32"/>
      </w:r>
      <w:bookmarkEnd w:id="16"/>
      <w:r w:rsidRPr="003F1941">
        <w:rPr>
          <w:rFonts w:cs="Arial"/>
          <w:sz w:val="20"/>
          <w:szCs w:val="20"/>
        </w:rPr>
        <w:t xml:space="preserve">. Es importante destacar que para el ajuste de fármacos </w:t>
      </w:r>
      <w:r>
        <w:rPr>
          <w:rFonts w:cs="Arial"/>
          <w:sz w:val="20"/>
          <w:szCs w:val="20"/>
        </w:rPr>
        <w:t xml:space="preserve">de eliminación renal </w:t>
      </w:r>
      <w:r w:rsidRPr="003F1941">
        <w:rPr>
          <w:rFonts w:cs="Arial"/>
          <w:sz w:val="20"/>
          <w:szCs w:val="20"/>
        </w:rPr>
        <w:t>especialmente tóxicos o con escaso margen terapéutico, los valores del FG no se deberían estandarizar a 1,73m</w:t>
      </w:r>
      <w:r w:rsidRPr="003F1941">
        <w:rPr>
          <w:rFonts w:cs="Arial"/>
          <w:sz w:val="20"/>
          <w:szCs w:val="20"/>
          <w:vertAlign w:val="superscript"/>
        </w:rPr>
        <w:t>2</w:t>
      </w:r>
      <w:r w:rsidRPr="003F1941">
        <w:rPr>
          <w:rFonts w:cs="Arial"/>
          <w:sz w:val="20"/>
          <w:szCs w:val="20"/>
        </w:rPr>
        <w:t xml:space="preserve"> en pacientes con desviaciones importantes de la superficie corporal</w:t>
      </w:r>
      <w:fldSimple w:instr=" NOTEREF _Ref343107474 \f  \* MERGEFORMAT ">
        <w:r w:rsidR="00852CBE" w:rsidRPr="00852CBE">
          <w:rPr>
            <w:rStyle w:val="Refdenotaalfinal"/>
            <w:sz w:val="20"/>
            <w:szCs w:val="20"/>
          </w:rPr>
          <w:t>31</w:t>
        </w:r>
      </w:fldSimple>
      <w:r w:rsidRPr="00527474">
        <w:rPr>
          <w:rStyle w:val="Refdenotaalfinal"/>
        </w:rPr>
        <w:t>.</w:t>
      </w:r>
      <w:r w:rsidRPr="003F1941">
        <w:rPr>
          <w:rFonts w:cs="Arial"/>
          <w:sz w:val="20"/>
          <w:szCs w:val="20"/>
        </w:rPr>
        <w:t xml:space="preserve"> En estos casos basta con multiplicar el resultado del laboratorio expresado en ml/min/1,73m</w:t>
      </w:r>
      <w:r w:rsidRPr="003F1941">
        <w:rPr>
          <w:rFonts w:cs="Arial"/>
          <w:sz w:val="20"/>
          <w:szCs w:val="20"/>
          <w:vertAlign w:val="superscript"/>
        </w:rPr>
        <w:t>2</w:t>
      </w:r>
      <w:r w:rsidRPr="003F1941">
        <w:rPr>
          <w:rFonts w:cs="Arial"/>
          <w:sz w:val="20"/>
          <w:szCs w:val="20"/>
        </w:rPr>
        <w:t xml:space="preserve"> por el cociente de la superficie corporal (SC) real del paciente dividida por 1,73m</w:t>
      </w:r>
      <w:r w:rsidRPr="003F1941">
        <w:rPr>
          <w:rFonts w:cs="Arial"/>
          <w:sz w:val="20"/>
          <w:szCs w:val="20"/>
          <w:vertAlign w:val="superscript"/>
        </w:rPr>
        <w:t>2</w:t>
      </w:r>
      <w:r w:rsidRPr="003F1941">
        <w:rPr>
          <w:rFonts w:cs="Arial"/>
          <w:sz w:val="20"/>
          <w:szCs w:val="20"/>
        </w:rPr>
        <w:t xml:space="preserve"> (FG x SC/1,73m</w:t>
      </w:r>
      <w:r w:rsidRPr="003F1941">
        <w:rPr>
          <w:rFonts w:cs="Arial"/>
          <w:sz w:val="20"/>
          <w:szCs w:val="20"/>
          <w:vertAlign w:val="superscript"/>
        </w:rPr>
        <w:t>2</w:t>
      </w:r>
      <w:r w:rsidRPr="003F1941">
        <w:rPr>
          <w:rFonts w:cs="Arial"/>
          <w:sz w:val="20"/>
          <w:szCs w:val="20"/>
        </w:rPr>
        <w:t xml:space="preserve">). </w:t>
      </w:r>
    </w:p>
    <w:p w:rsidR="00E81B3D" w:rsidRDefault="00E81B3D" w:rsidP="007E30EB">
      <w:pPr>
        <w:spacing w:before="120" w:after="120"/>
        <w:ind w:left="993"/>
        <w:rPr>
          <w:rFonts w:cs="Arial"/>
          <w:sz w:val="20"/>
          <w:szCs w:val="20"/>
        </w:rPr>
      </w:pPr>
    </w:p>
    <w:p w:rsidR="00E81B3D" w:rsidRDefault="00E81B3D" w:rsidP="007E30EB">
      <w:pPr>
        <w:spacing w:before="120" w:after="120"/>
        <w:ind w:left="993"/>
        <w:rPr>
          <w:rFonts w:cs="Arial"/>
          <w:sz w:val="20"/>
          <w:szCs w:val="20"/>
        </w:rPr>
      </w:pPr>
      <w:r w:rsidRPr="006530DA">
        <w:rPr>
          <w:rFonts w:cs="Arial"/>
          <w:sz w:val="20"/>
          <w:szCs w:val="20"/>
        </w:rPr>
        <w:t>En general, el uso de las ecuaciones para la estimación del FG es inadecuado en una serie de situaciones clínicas como las siguientes</w:t>
      </w:r>
      <w:r>
        <w:rPr>
          <w:rFonts w:cs="Arial"/>
          <w:sz w:val="20"/>
          <w:szCs w:val="20"/>
        </w:rPr>
        <w:t xml:space="preserve"> </w:t>
      </w:r>
      <w:bookmarkStart w:id="17" w:name="_Ref343107660"/>
      <w:r>
        <w:rPr>
          <w:rStyle w:val="Refdenotaalfinal"/>
          <w:sz w:val="20"/>
          <w:szCs w:val="20"/>
        </w:rPr>
        <w:endnoteReference w:id="33"/>
      </w:r>
      <w:bookmarkEnd w:id="17"/>
      <w:r>
        <w:rPr>
          <w:rFonts w:cs="Arial"/>
          <w:sz w:val="20"/>
          <w:szCs w:val="20"/>
        </w:rPr>
        <w:t>:</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 xml:space="preserve">Personas con peso corporal extremo: </w:t>
      </w:r>
      <w:r>
        <w:rPr>
          <w:rFonts w:cs="Arial"/>
          <w:sz w:val="20"/>
          <w:szCs w:val="20"/>
        </w:rPr>
        <w:t>IMC</w:t>
      </w:r>
      <w:r w:rsidRPr="006530DA">
        <w:rPr>
          <w:rFonts w:cs="Arial"/>
          <w:sz w:val="20"/>
          <w:szCs w:val="20"/>
        </w:rPr>
        <w:t xml:space="preserve"> &lt; 19 kg/m</w:t>
      </w:r>
      <w:r w:rsidRPr="005B3F59">
        <w:rPr>
          <w:rFonts w:cs="Arial"/>
          <w:sz w:val="20"/>
          <w:szCs w:val="20"/>
          <w:vertAlign w:val="superscript"/>
        </w:rPr>
        <w:t>2</w:t>
      </w:r>
      <w:r>
        <w:rPr>
          <w:rFonts w:cs="Arial"/>
          <w:sz w:val="20"/>
          <w:szCs w:val="20"/>
        </w:rPr>
        <w:t xml:space="preserve"> o &gt; 35 kg/m</w:t>
      </w:r>
      <w:r w:rsidRPr="005B3F59">
        <w:rPr>
          <w:rFonts w:cs="Arial"/>
          <w:sz w:val="20"/>
          <w:szCs w:val="20"/>
          <w:vertAlign w:val="superscript"/>
        </w:rPr>
        <w:t>2</w:t>
      </w:r>
      <w:r w:rsidRPr="006530DA">
        <w:rPr>
          <w:rFonts w:cs="Arial"/>
          <w:sz w:val="20"/>
          <w:szCs w:val="20"/>
        </w:rPr>
        <w:t>.</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Personas que siguen dietas especiales (vegetarianos estrictos, suplementos de creatinina o creatina) o con malnutrición.</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Personas con alteraciones de la masa muscular (amputaciones, pérdida de masa muscular, enfermedades musculares o parálisis).</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Edad &lt; 18 años.</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Enfermedad hepática grave, edema generalizado o ascitis.</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Mujeres embarazadas.</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Casos de fracaso renal agudo o de empeoramiento transitorio de la función renal en pacientes con ERC.</w:t>
      </w:r>
    </w:p>
    <w:p w:rsidR="00E81B3D" w:rsidRPr="006530DA" w:rsidRDefault="00E81B3D" w:rsidP="007E30EB">
      <w:pPr>
        <w:numPr>
          <w:ilvl w:val="0"/>
          <w:numId w:val="3"/>
        </w:numPr>
        <w:spacing w:before="120" w:after="120"/>
        <w:ind w:left="1560" w:hanging="284"/>
        <w:rPr>
          <w:rFonts w:cs="Arial"/>
          <w:sz w:val="20"/>
          <w:szCs w:val="20"/>
        </w:rPr>
      </w:pPr>
      <w:r w:rsidRPr="006530DA">
        <w:rPr>
          <w:rFonts w:cs="Arial"/>
          <w:sz w:val="20"/>
          <w:szCs w:val="20"/>
        </w:rPr>
        <w:t>Estudio de potenciales donantes de riñón.</w:t>
      </w:r>
    </w:p>
    <w:p w:rsidR="00E81B3D" w:rsidRPr="00B27E45" w:rsidRDefault="00E81B3D" w:rsidP="007E30EB">
      <w:pPr>
        <w:numPr>
          <w:ilvl w:val="0"/>
          <w:numId w:val="3"/>
        </w:numPr>
        <w:spacing w:before="120" w:after="120"/>
        <w:ind w:left="1560" w:hanging="284"/>
        <w:rPr>
          <w:rFonts w:cs="Arial"/>
          <w:sz w:val="20"/>
          <w:szCs w:val="20"/>
        </w:rPr>
      </w:pPr>
      <w:r w:rsidRPr="006F7A3E">
        <w:rPr>
          <w:rFonts w:cs="Arial"/>
          <w:sz w:val="20"/>
          <w:szCs w:val="20"/>
        </w:rPr>
        <w:t>Ajuste de dosis de fármacos de elevada toxicidad y de eliminación renal, como, por ejemplo, aminoglicósidos y quimioterápicos. En este sentido, y en relación al punto anterior, la FDA ha propuesto que las fórmulas de estimación se incorporen en futuros estudios farmacocinéticos en pacientes con ERC</w:t>
      </w:r>
      <w:fldSimple w:instr=" NOTEREF _Ref343107474 \f  \* MERGEFORMAT ">
        <w:r w:rsidR="00852CBE" w:rsidRPr="00852CBE">
          <w:rPr>
            <w:rStyle w:val="Refdenotaalfinal"/>
            <w:sz w:val="20"/>
            <w:szCs w:val="20"/>
          </w:rPr>
          <w:t>31</w:t>
        </w:r>
      </w:fldSimple>
      <w:r>
        <w:t xml:space="preserve"> </w:t>
      </w:r>
      <w:r w:rsidRPr="00527474">
        <w:rPr>
          <w:rStyle w:val="Refdenotaalfinal"/>
          <w:sz w:val="20"/>
          <w:szCs w:val="20"/>
        </w:rPr>
        <w:endnoteReference w:id="34"/>
      </w:r>
      <w:r w:rsidRPr="00B27E45">
        <w:rPr>
          <w:rFonts w:cs="Arial"/>
          <w:sz w:val="20"/>
          <w:szCs w:val="20"/>
        </w:rPr>
        <w:t>.</w:t>
      </w:r>
    </w:p>
    <w:p w:rsidR="00E81B3D" w:rsidRDefault="00E81B3D" w:rsidP="002944C1">
      <w:pPr>
        <w:spacing w:before="120" w:after="120"/>
        <w:ind w:left="993"/>
        <w:rPr>
          <w:rFonts w:cs="Arial"/>
          <w:sz w:val="20"/>
          <w:szCs w:val="20"/>
        </w:rPr>
      </w:pPr>
      <w:r w:rsidRPr="006530DA">
        <w:rPr>
          <w:rFonts w:cs="Arial"/>
          <w:sz w:val="20"/>
          <w:szCs w:val="20"/>
        </w:rPr>
        <w:t xml:space="preserve">En </w:t>
      </w:r>
      <w:r>
        <w:rPr>
          <w:rFonts w:cs="Arial"/>
          <w:sz w:val="20"/>
          <w:szCs w:val="20"/>
        </w:rPr>
        <w:t xml:space="preserve">todos </w:t>
      </w:r>
      <w:r w:rsidRPr="006530DA">
        <w:rPr>
          <w:rFonts w:cs="Arial"/>
          <w:sz w:val="20"/>
          <w:szCs w:val="20"/>
        </w:rPr>
        <w:t>estos casos, el estudio de la función renal debería realizarse mediante la depuración de creatinina, con recogida lo más precisa posible de la orina de 24 horas</w:t>
      </w:r>
    </w:p>
    <w:p w:rsidR="00E81B3D" w:rsidRPr="003F1941" w:rsidRDefault="00E81B3D" w:rsidP="007E30EB">
      <w:pPr>
        <w:spacing w:before="120" w:after="120"/>
        <w:ind w:left="993"/>
        <w:rPr>
          <w:sz w:val="20"/>
          <w:szCs w:val="20"/>
        </w:rPr>
      </w:pPr>
      <w:r w:rsidRPr="003F1941">
        <w:rPr>
          <w:sz w:val="20"/>
          <w:szCs w:val="20"/>
        </w:rPr>
        <w:t>La implementación de estas fórmulas de estimación del FG también precisarán de su valoración en distintas áreas, por lo que las próximas guías KDIGO 2012 recomiendan su uso en aquellas regiones geográficas en las que ha existido algún tipo de validación</w:t>
      </w:r>
      <w:fldSimple w:instr=" NOTEREF _Ref343107660 \f  \* MERGEFORMAT ">
        <w:r w:rsidR="00852CBE" w:rsidRPr="00852CBE">
          <w:rPr>
            <w:rStyle w:val="Refdenotaalfinal"/>
            <w:sz w:val="20"/>
            <w:szCs w:val="20"/>
          </w:rPr>
          <w:t>32</w:t>
        </w:r>
      </w:fldSimple>
      <w:r w:rsidRPr="003F1941">
        <w:rPr>
          <w:sz w:val="20"/>
          <w:szCs w:val="20"/>
        </w:rPr>
        <w:t>.</w:t>
      </w:r>
    </w:p>
    <w:p w:rsidR="00E81B3D" w:rsidRPr="003F1941" w:rsidRDefault="00E81B3D" w:rsidP="007E30EB">
      <w:pPr>
        <w:spacing w:before="120" w:after="120"/>
        <w:ind w:left="993"/>
        <w:rPr>
          <w:rFonts w:cs="Arial"/>
          <w:sz w:val="20"/>
          <w:szCs w:val="20"/>
        </w:rPr>
      </w:pPr>
      <w:r w:rsidRPr="00BA3ED8">
        <w:rPr>
          <w:sz w:val="20"/>
          <w:szCs w:val="20"/>
        </w:rPr>
        <w:t xml:space="preserve">El uso de </w:t>
      </w:r>
      <w:r w:rsidRPr="00BA3ED8">
        <w:rPr>
          <w:b/>
          <w:sz w:val="20"/>
          <w:szCs w:val="20"/>
        </w:rPr>
        <w:t>cistatina C</w:t>
      </w:r>
      <w:r>
        <w:rPr>
          <w:b/>
          <w:sz w:val="20"/>
          <w:szCs w:val="20"/>
        </w:rPr>
        <w:t xml:space="preserve"> </w:t>
      </w:r>
      <w:r w:rsidRPr="003F1941">
        <w:rPr>
          <w:sz w:val="20"/>
          <w:szCs w:val="20"/>
        </w:rPr>
        <w:t>como un marcador endógeno y especialmente el FG estimado por fórmulas a partir de ella puede tener algunas ventajas sobre la creatinina sérica porque está menos influida por factores como la raza o la masa muscular y porque parece mejor predictor de complicaciones cardiovasculares y mortalidad</w:t>
      </w:r>
      <w:r w:rsidRPr="003F1941">
        <w:rPr>
          <w:rStyle w:val="Refdenotaalfinal"/>
          <w:sz w:val="20"/>
          <w:szCs w:val="20"/>
        </w:rPr>
        <w:endnoteReference w:id="35"/>
      </w:r>
      <w:r w:rsidRPr="003F1941">
        <w:rPr>
          <w:sz w:val="20"/>
          <w:szCs w:val="20"/>
        </w:rPr>
        <w:t xml:space="preserve">. Sin embargo, aunque muchos trabajos indican una supuesta superioridad de la cistatina C, los resultados son heterogéneos </w:t>
      </w:r>
      <w:r w:rsidRPr="003F1941">
        <w:rPr>
          <w:rStyle w:val="Refdenotaalfinal"/>
          <w:sz w:val="20"/>
          <w:szCs w:val="20"/>
        </w:rPr>
        <w:endnoteReference w:id="36"/>
      </w:r>
      <w:r w:rsidRPr="003F1941">
        <w:rPr>
          <w:sz w:val="20"/>
          <w:szCs w:val="20"/>
        </w:rPr>
        <w:t xml:space="preserve"> </w:t>
      </w:r>
      <w:r w:rsidRPr="003F1941">
        <w:rPr>
          <w:rStyle w:val="Refdenotaalfinal"/>
          <w:sz w:val="20"/>
          <w:szCs w:val="20"/>
        </w:rPr>
        <w:endnoteReference w:id="37"/>
      </w:r>
      <w:r w:rsidRPr="003F1941">
        <w:rPr>
          <w:sz w:val="20"/>
          <w:szCs w:val="20"/>
        </w:rPr>
        <w:t xml:space="preserve"> </w:t>
      </w:r>
      <w:r w:rsidRPr="003F1941">
        <w:rPr>
          <w:rStyle w:val="Refdenotaalfinal"/>
          <w:sz w:val="20"/>
          <w:szCs w:val="20"/>
        </w:rPr>
        <w:endnoteReference w:id="38"/>
      </w:r>
      <w:r w:rsidRPr="003F1941">
        <w:rPr>
          <w:sz w:val="20"/>
          <w:szCs w:val="20"/>
        </w:rPr>
        <w:t xml:space="preserve"> </w:t>
      </w:r>
      <w:r w:rsidRPr="003F1941">
        <w:rPr>
          <w:rStyle w:val="Refdenotaalfinal"/>
          <w:sz w:val="20"/>
          <w:szCs w:val="20"/>
        </w:rPr>
        <w:endnoteReference w:id="39"/>
      </w:r>
      <w:r w:rsidRPr="003F1941">
        <w:rPr>
          <w:sz w:val="20"/>
          <w:szCs w:val="20"/>
        </w:rPr>
        <w:t xml:space="preserve"> </w:t>
      </w:r>
      <w:r w:rsidRPr="003F1941">
        <w:rPr>
          <w:rStyle w:val="Refdenotaalfinal"/>
          <w:sz w:val="20"/>
          <w:szCs w:val="20"/>
        </w:rPr>
        <w:endnoteReference w:id="40"/>
      </w:r>
      <w:r w:rsidRPr="003F1941">
        <w:rPr>
          <w:sz w:val="20"/>
          <w:szCs w:val="20"/>
        </w:rPr>
        <w:t xml:space="preserve"> y es necesario reconocer que la cistatina C se halla también sometida a variables no dependientes del FG </w:t>
      </w:r>
      <w:r w:rsidRPr="00705C12">
        <w:rPr>
          <w:sz w:val="20"/>
          <w:szCs w:val="20"/>
        </w:rPr>
        <w:t xml:space="preserve">y </w:t>
      </w:r>
      <w:r>
        <w:rPr>
          <w:sz w:val="20"/>
          <w:szCs w:val="20"/>
        </w:rPr>
        <w:t>que los métodos de medida</w:t>
      </w:r>
      <w:r w:rsidRPr="00705C12">
        <w:rPr>
          <w:sz w:val="20"/>
          <w:szCs w:val="20"/>
        </w:rPr>
        <w:t xml:space="preserve"> están en fase de estandarización. Asimismo, se ha postulado que podría ser necesario el uso </w:t>
      </w:r>
      <w:r w:rsidRPr="00705C12">
        <w:rPr>
          <w:sz w:val="20"/>
          <w:szCs w:val="20"/>
        </w:rPr>
        <w:lastRenderedPageBreak/>
        <w:t>de un panel con dos o más marcadores para mejorar la precisión en la medición del FG</w:t>
      </w:r>
      <w:r w:rsidRPr="00705C12">
        <w:rPr>
          <w:rStyle w:val="Refdenotaalfinal"/>
          <w:sz w:val="20"/>
          <w:szCs w:val="20"/>
        </w:rPr>
        <w:endnoteReference w:id="41"/>
      </w:r>
      <w:r>
        <w:rPr>
          <w:sz w:val="20"/>
          <w:szCs w:val="20"/>
        </w:rPr>
        <w:t xml:space="preserve"> </w:t>
      </w:r>
      <w:r>
        <w:rPr>
          <w:rStyle w:val="Refdenotaalfinal"/>
          <w:sz w:val="20"/>
          <w:szCs w:val="20"/>
        </w:rPr>
        <w:endnoteReference w:id="42"/>
      </w:r>
      <w:r w:rsidRPr="00705C12">
        <w:rPr>
          <w:sz w:val="20"/>
          <w:szCs w:val="20"/>
        </w:rPr>
        <w:t>.</w:t>
      </w:r>
      <w:r w:rsidRPr="003F1941">
        <w:rPr>
          <w:sz w:val="20"/>
          <w:szCs w:val="20"/>
        </w:rPr>
        <w:t xml:space="preserve">  Hasta ahora ninguna guía de práctica clínica ha incluido el uso de cistatina C o FG estimado a partir de ella como parámetro de cribado de ERC pero las nuevas guías KDIGO 2012 sugieren la medida de cistatina C en adultos con FG entre 45 y 59 ml/min/1,73m</w:t>
      </w:r>
      <w:r w:rsidRPr="003F1941">
        <w:rPr>
          <w:sz w:val="20"/>
          <w:szCs w:val="20"/>
          <w:vertAlign w:val="superscript"/>
        </w:rPr>
        <w:t>2</w:t>
      </w:r>
      <w:r w:rsidRPr="003F1941">
        <w:rPr>
          <w:sz w:val="20"/>
          <w:szCs w:val="20"/>
        </w:rPr>
        <w:t>, sin otros marcadores de lesión renal, si se requiere una confirmación diagnóstica de ERC. Se debería usar entonces la ecuación CKD-EPI para cistatina C recientemente publicada (CKD-EPI 2012 cistatina C).</w:t>
      </w:r>
    </w:p>
    <w:p w:rsidR="00E81B3D" w:rsidRDefault="00E81B3D" w:rsidP="007E30EB">
      <w:pPr>
        <w:pStyle w:val="Ttulo3"/>
        <w:ind w:left="1353" w:hanging="360"/>
        <w:rPr>
          <w:rFonts w:ascii="Arial" w:hAnsi="Arial" w:cs="Arial"/>
          <w:sz w:val="20"/>
          <w:szCs w:val="20"/>
        </w:rPr>
      </w:pPr>
    </w:p>
    <w:p w:rsidR="00E81B3D" w:rsidRPr="0049306A" w:rsidRDefault="00E81B3D" w:rsidP="007E30EB">
      <w:pPr>
        <w:pStyle w:val="Ttulo3"/>
        <w:ind w:left="1353" w:hanging="360"/>
        <w:rPr>
          <w:rFonts w:ascii="Arial" w:hAnsi="Arial" w:cs="Arial"/>
          <w:sz w:val="20"/>
          <w:szCs w:val="20"/>
        </w:rPr>
      </w:pPr>
      <w:r w:rsidRPr="0049306A">
        <w:rPr>
          <w:rFonts w:ascii="Arial" w:hAnsi="Arial" w:cs="Arial"/>
          <w:sz w:val="20"/>
          <w:szCs w:val="20"/>
        </w:rPr>
        <w:t>Evaluación de la lesión renal</w:t>
      </w:r>
    </w:p>
    <w:p w:rsidR="00E81B3D" w:rsidRDefault="00E81B3D" w:rsidP="007E30EB">
      <w:pPr>
        <w:numPr>
          <w:ilvl w:val="0"/>
          <w:numId w:val="2"/>
        </w:numPr>
        <w:spacing w:before="120" w:after="120"/>
        <w:ind w:left="1701" w:hanging="283"/>
        <w:rPr>
          <w:rFonts w:cs="Arial"/>
          <w:b/>
          <w:sz w:val="20"/>
          <w:szCs w:val="20"/>
        </w:rPr>
      </w:pPr>
      <w:r w:rsidRPr="00B444D2">
        <w:rPr>
          <w:rFonts w:cs="Arial"/>
          <w:b/>
          <w:sz w:val="20"/>
          <w:szCs w:val="20"/>
        </w:rPr>
        <w:t>Albuminuria</w:t>
      </w:r>
    </w:p>
    <w:p w:rsidR="00E81B3D" w:rsidRPr="0049306A" w:rsidRDefault="00E81B3D" w:rsidP="007E30EB">
      <w:pPr>
        <w:spacing w:before="120" w:after="120"/>
        <w:ind w:left="1701"/>
        <w:rPr>
          <w:sz w:val="20"/>
          <w:szCs w:val="20"/>
        </w:rPr>
      </w:pPr>
      <w:r w:rsidRPr="00563E10">
        <w:rPr>
          <w:sz w:val="20"/>
          <w:szCs w:val="20"/>
        </w:rPr>
        <w:t>La presencia de concentraciones elevadas de proteína o albúmina en la orina, de forma persistente, es un signo no sólo de lesión renal sino que muchas veces es signo de “daño sistémico”, más allá del riñón</w:t>
      </w:r>
      <w:r>
        <w:rPr>
          <w:rStyle w:val="Refdenotaalfinal"/>
          <w:sz w:val="20"/>
          <w:szCs w:val="20"/>
        </w:rPr>
        <w:endnoteReference w:id="43"/>
      </w:r>
      <w:r>
        <w:rPr>
          <w:sz w:val="20"/>
          <w:szCs w:val="20"/>
        </w:rPr>
        <w:t xml:space="preserve"> </w:t>
      </w:r>
      <w:r>
        <w:rPr>
          <w:rStyle w:val="Refdenotaalfinal"/>
          <w:sz w:val="20"/>
          <w:szCs w:val="20"/>
        </w:rPr>
        <w:endnoteReference w:id="44"/>
      </w:r>
      <w:r>
        <w:rPr>
          <w:sz w:val="20"/>
          <w:szCs w:val="20"/>
        </w:rPr>
        <w:t xml:space="preserve">. Distintos </w:t>
      </w:r>
      <w:r w:rsidRPr="008F23A3">
        <w:rPr>
          <w:sz w:val="20"/>
          <w:szCs w:val="20"/>
        </w:rPr>
        <w:t xml:space="preserve">estudios han mostrado la importancia de la proteinuria </w:t>
      </w:r>
      <w:r w:rsidRPr="0049306A">
        <w:rPr>
          <w:sz w:val="20"/>
          <w:szCs w:val="20"/>
        </w:rPr>
        <w:t xml:space="preserve">en la patogenia de la </w:t>
      </w:r>
      <w:r w:rsidRPr="0049306A">
        <w:rPr>
          <w:i/>
          <w:sz w:val="20"/>
          <w:szCs w:val="20"/>
        </w:rPr>
        <w:t>progresión</w:t>
      </w:r>
      <w:r w:rsidRPr="0049306A">
        <w:rPr>
          <w:sz w:val="20"/>
          <w:szCs w:val="20"/>
        </w:rPr>
        <w:t xml:space="preserve"> de la ERC</w:t>
      </w:r>
      <w:bookmarkStart w:id="18" w:name="_Ref343109122"/>
      <w:r w:rsidRPr="0049306A">
        <w:rPr>
          <w:rStyle w:val="Refdenotaalfinal"/>
          <w:sz w:val="20"/>
          <w:szCs w:val="20"/>
        </w:rPr>
        <w:endnoteReference w:id="45"/>
      </w:r>
      <w:bookmarkEnd w:id="18"/>
      <w:r w:rsidRPr="0049306A">
        <w:rPr>
          <w:sz w:val="20"/>
          <w:szCs w:val="20"/>
        </w:rPr>
        <w:t xml:space="preserve"> así como la relación de la albuminuria con el </w:t>
      </w:r>
      <w:r w:rsidRPr="0049306A">
        <w:rPr>
          <w:i/>
          <w:sz w:val="20"/>
          <w:szCs w:val="20"/>
        </w:rPr>
        <w:t>pronóstico</w:t>
      </w:r>
      <w:r w:rsidRPr="0049306A">
        <w:rPr>
          <w:sz w:val="20"/>
          <w:szCs w:val="20"/>
        </w:rPr>
        <w:t xml:space="preserve"> renal y con la </w:t>
      </w:r>
      <w:r w:rsidRPr="0049306A">
        <w:rPr>
          <w:i/>
          <w:sz w:val="20"/>
          <w:szCs w:val="20"/>
        </w:rPr>
        <w:t>mortalidad</w:t>
      </w:r>
      <w:r w:rsidRPr="0049306A">
        <w:rPr>
          <w:sz w:val="20"/>
          <w:szCs w:val="20"/>
        </w:rPr>
        <w:t xml:space="preserve"> en diversas poblaciones de modo </w:t>
      </w:r>
      <w:r w:rsidRPr="0049306A">
        <w:rPr>
          <w:i/>
          <w:sz w:val="20"/>
          <w:szCs w:val="20"/>
        </w:rPr>
        <w:t>independiente</w:t>
      </w:r>
      <w:r w:rsidRPr="0049306A">
        <w:rPr>
          <w:sz w:val="20"/>
          <w:szCs w:val="20"/>
        </w:rPr>
        <w:t xml:space="preserve"> del FG y otros factores de riesgo clásicos de enfermedad cardiovascular </w:t>
      </w:r>
      <w:r w:rsidRPr="0049306A">
        <w:rPr>
          <w:rStyle w:val="Refdenotaalfinal"/>
          <w:sz w:val="20"/>
          <w:szCs w:val="20"/>
        </w:rPr>
        <w:endnoteReference w:id="46"/>
      </w:r>
      <w:r w:rsidRPr="0049306A">
        <w:rPr>
          <w:sz w:val="20"/>
          <w:szCs w:val="20"/>
        </w:rPr>
        <w:t xml:space="preserve"> </w:t>
      </w:r>
      <w:r w:rsidRPr="0049306A">
        <w:rPr>
          <w:rStyle w:val="Refdenotaalfinal"/>
          <w:sz w:val="20"/>
          <w:szCs w:val="20"/>
        </w:rPr>
        <w:endnoteReference w:id="47"/>
      </w:r>
      <w:r w:rsidRPr="0049306A">
        <w:rPr>
          <w:sz w:val="20"/>
          <w:szCs w:val="20"/>
        </w:rPr>
        <w:t xml:space="preserve"> </w:t>
      </w:r>
      <w:r w:rsidRPr="0049306A">
        <w:rPr>
          <w:rStyle w:val="Refdenotaalfinal"/>
          <w:sz w:val="20"/>
          <w:szCs w:val="20"/>
        </w:rPr>
        <w:endnoteReference w:id="48"/>
      </w:r>
      <w:r w:rsidRPr="0049306A">
        <w:rPr>
          <w:sz w:val="20"/>
          <w:szCs w:val="20"/>
        </w:rPr>
        <w:t xml:space="preserve"> </w:t>
      </w:r>
      <w:r w:rsidRPr="0049306A">
        <w:rPr>
          <w:rStyle w:val="Refdenotaalfinal"/>
          <w:sz w:val="20"/>
          <w:szCs w:val="20"/>
        </w:rPr>
        <w:endnoteReference w:id="49"/>
      </w:r>
      <w:r w:rsidRPr="0049306A">
        <w:rPr>
          <w:sz w:val="20"/>
          <w:szCs w:val="20"/>
        </w:rPr>
        <w:t xml:space="preserve"> </w:t>
      </w:r>
      <w:r w:rsidRPr="0049306A">
        <w:rPr>
          <w:rStyle w:val="Refdenotaalfinal"/>
          <w:sz w:val="20"/>
          <w:szCs w:val="20"/>
        </w:rPr>
        <w:endnoteReference w:id="50"/>
      </w:r>
      <w:r w:rsidRPr="0049306A">
        <w:rPr>
          <w:sz w:val="20"/>
          <w:szCs w:val="20"/>
        </w:rPr>
        <w:t>. La albuminuria constituye, juntamente con el FG, la base del diagnóstico y clasificación en estadios actual de la ERC. Su presencia identifica un subgrupo de pacientes con un riesgo superior de progresión de la enfermedad y con más morbimortalidad cardiovascular.</w:t>
      </w:r>
    </w:p>
    <w:p w:rsidR="00E81B3D" w:rsidRPr="0049306A" w:rsidRDefault="00E81B3D" w:rsidP="007E30EB">
      <w:pPr>
        <w:ind w:left="1701"/>
        <w:rPr>
          <w:sz w:val="20"/>
          <w:szCs w:val="20"/>
        </w:rPr>
      </w:pPr>
      <w:r w:rsidRPr="0049306A">
        <w:rPr>
          <w:sz w:val="20"/>
          <w:szCs w:val="20"/>
        </w:rPr>
        <w:t>La orina de 24 horas es el espécimen más adecuado para valorar la proteinuria o la albuminuria. No obstante, los problemas asociados a la recogida de orina de 24 horas han llevado a buscar especímenes alternativos como la primera orina de la mañana u orinas aleatorias. Para eliminar variaciones relacionadas con el grado de hidratación, los resultados se deben expresar en relación a la concentración de creatinina en la orina. Diversos trabajos demuestran que hay una elevada correlación y concordancia entre las concentraciones del cociente proteína/creatinina (PR/CR) y/o albúmina/creatinina (A/CR) obtenidas en muestras de orina respecto a la excreción de proteína y/o albúmina en orina de 24 horas.</w:t>
      </w:r>
    </w:p>
    <w:p w:rsidR="00E81B3D" w:rsidRPr="0049306A" w:rsidRDefault="00E81B3D" w:rsidP="007E30EB">
      <w:pPr>
        <w:ind w:left="1701"/>
        <w:rPr>
          <w:sz w:val="20"/>
          <w:szCs w:val="20"/>
        </w:rPr>
      </w:pPr>
      <w:r w:rsidRPr="0049306A">
        <w:rPr>
          <w:sz w:val="20"/>
          <w:szCs w:val="20"/>
        </w:rPr>
        <w:t>A pesar de la importancia de la detección y monitorización de la albuminuria/proteinuria en el diagnóstico y seguimiento de la ERC, no hay un consenso entre las diversas guías de práctica clínica publicadas en los últimos años, sobre diversos aspectos relacionados con su medición, cuáles son los valores que indican su presencia y si ésta debe ser definida en términos de albúmina o de proteína</w:t>
      </w:r>
      <w:r w:rsidRPr="0049306A">
        <w:rPr>
          <w:rStyle w:val="Refdenotaalfinal"/>
          <w:sz w:val="20"/>
          <w:szCs w:val="20"/>
        </w:rPr>
        <w:endnoteReference w:id="51"/>
      </w:r>
      <w:r>
        <w:rPr>
          <w:sz w:val="20"/>
          <w:szCs w:val="20"/>
        </w:rPr>
        <w:t xml:space="preserve"> </w:t>
      </w:r>
      <w:r>
        <w:rPr>
          <w:rStyle w:val="Refdenotaalfinal"/>
          <w:sz w:val="20"/>
          <w:szCs w:val="20"/>
        </w:rPr>
        <w:endnoteReference w:id="52"/>
      </w:r>
      <w:r w:rsidRPr="0049306A">
        <w:rPr>
          <w:sz w:val="20"/>
          <w:szCs w:val="20"/>
        </w:rPr>
        <w:t>.</w:t>
      </w:r>
    </w:p>
    <w:p w:rsidR="00E81B3D" w:rsidRPr="0049306A" w:rsidRDefault="00E81B3D" w:rsidP="007E30EB">
      <w:pPr>
        <w:spacing w:before="120" w:after="120"/>
        <w:ind w:left="1701"/>
        <w:rPr>
          <w:rFonts w:cs="Arial"/>
          <w:sz w:val="20"/>
          <w:szCs w:val="20"/>
        </w:rPr>
      </w:pPr>
      <w:r w:rsidRPr="0049306A">
        <w:rPr>
          <w:sz w:val="20"/>
          <w:szCs w:val="20"/>
        </w:rPr>
        <w:t>En la actualidad, varias guías recomiendan la medición del cociente A/CR en orina, preferentemente en la primera orina de la mañana. El cociente A/CR es un marcador más sensible que la proteinuria en el contexto de ERC secundaria a DM, HTA o enfermedad glomerular, que son las causas más frecuentes de ERC en el adulto. Por este motivo, para la detección y monitorización, así como la nueva clasificación en estadios y pronóstico de ERC debería valorarse la presencia de proteinuria mediante la determinación del cociente A/CR. En el caso de pacientes con ERC diagnosticada y proteinuria significativa (p. ej. A/CR &gt; 300-500 mg/g) se podría realizar la monitorización a partir del cociente PR/CR por tratarse de una determinación más económica. Para considerar que una persona tiene albuminuria son necesarios dos valores elevados en tres muestras obtenidas durante un periodo de 3 a 6 meses.</w:t>
      </w:r>
    </w:p>
    <w:p w:rsidR="00E81B3D" w:rsidRDefault="00E81B3D" w:rsidP="007E30EB">
      <w:pPr>
        <w:spacing w:before="120" w:after="120"/>
        <w:ind w:left="1701"/>
        <w:rPr>
          <w:sz w:val="20"/>
          <w:szCs w:val="20"/>
        </w:rPr>
      </w:pPr>
      <w:r w:rsidRPr="008F23A3">
        <w:rPr>
          <w:sz w:val="20"/>
          <w:szCs w:val="20"/>
        </w:rPr>
        <w:t>Como ya hemos dicho, el valor y la persistencia de la albuminuria se correlacionan estrechamente con el pronóstico renal y vital de los pacientes con ERC, pero también debemos considerar que la albuminuria es un marcador importante e independiente de</w:t>
      </w:r>
      <w:r w:rsidRPr="008F23A3">
        <w:rPr>
          <w:b/>
          <w:sz w:val="20"/>
          <w:szCs w:val="20"/>
        </w:rPr>
        <w:t xml:space="preserve"> </w:t>
      </w:r>
      <w:r w:rsidRPr="008F23A3">
        <w:rPr>
          <w:sz w:val="20"/>
          <w:szCs w:val="20"/>
        </w:rPr>
        <w:t>riesgo cardiovascular global (disfunción endotelial, remodelado arterial) y no únicamente un marcador de enfermedad renal.</w:t>
      </w:r>
      <w:r w:rsidRPr="008F23A3">
        <w:rPr>
          <w:b/>
          <w:sz w:val="20"/>
          <w:szCs w:val="20"/>
        </w:rPr>
        <w:t xml:space="preserve"> </w:t>
      </w:r>
      <w:r w:rsidRPr="008F23A3">
        <w:rPr>
          <w:sz w:val="20"/>
          <w:szCs w:val="20"/>
        </w:rPr>
        <w:t>La presencia única de albuminuria, sin ninguna otra manifestación de daño renal está puesta en entredicho por varios autores como un criterio único y específico de ERC, ya que se puede detectar en otras patologías (obesidad, tabaquismo, dermatitis</w:t>
      </w:r>
      <w:r>
        <w:rPr>
          <w:sz w:val="20"/>
          <w:szCs w:val="20"/>
        </w:rPr>
        <w:t>, artritis).</w:t>
      </w:r>
    </w:p>
    <w:p w:rsidR="00E81B3D" w:rsidRPr="0049306A" w:rsidRDefault="00E81B3D" w:rsidP="007E30EB">
      <w:pPr>
        <w:spacing w:before="120" w:after="120"/>
        <w:ind w:left="1701"/>
        <w:rPr>
          <w:rFonts w:cs="Arial"/>
          <w:sz w:val="20"/>
          <w:szCs w:val="20"/>
        </w:rPr>
      </w:pPr>
      <w:r w:rsidRPr="0049306A">
        <w:rPr>
          <w:rFonts w:cs="Arial"/>
          <w:sz w:val="20"/>
          <w:szCs w:val="20"/>
        </w:rPr>
        <w:t>Los nefrólogos deben reconocer que aunque se utilice el término de albuminuria más que el de proteinuria, la pérdida de otras proteínas podría ser importante en la patogénesis de la enfermedad renal, pronóstico y sus complicaciones. En este sentido debe recordarse que la determinación de proteinuria incluye no sólo la cuantificación de albúmina sino también la de proteínas de bajo peso molecular como proteínas de origen tubular o cadenas ligeras de inmunoglobulinas.</w:t>
      </w:r>
    </w:p>
    <w:p w:rsidR="00E81B3D" w:rsidRDefault="00E81B3D" w:rsidP="007E30EB">
      <w:pPr>
        <w:numPr>
          <w:ilvl w:val="0"/>
          <w:numId w:val="2"/>
        </w:numPr>
        <w:spacing w:before="120" w:after="120"/>
        <w:ind w:left="1701" w:hanging="283"/>
        <w:rPr>
          <w:rFonts w:cs="Arial"/>
          <w:b/>
          <w:sz w:val="20"/>
          <w:szCs w:val="20"/>
        </w:rPr>
      </w:pPr>
      <w:r w:rsidRPr="00B444D2">
        <w:rPr>
          <w:rFonts w:cs="Arial"/>
          <w:b/>
          <w:sz w:val="20"/>
          <w:szCs w:val="20"/>
        </w:rPr>
        <w:lastRenderedPageBreak/>
        <w:t>Alteraciones en el sedimento urinario</w:t>
      </w:r>
    </w:p>
    <w:p w:rsidR="00E81B3D" w:rsidRPr="008F23A3" w:rsidRDefault="00E81B3D" w:rsidP="007E30EB">
      <w:pPr>
        <w:ind w:left="1701"/>
        <w:rPr>
          <w:sz w:val="20"/>
          <w:szCs w:val="20"/>
        </w:rPr>
      </w:pPr>
      <w:r>
        <w:rPr>
          <w:sz w:val="20"/>
          <w:szCs w:val="20"/>
        </w:rPr>
        <w:t xml:space="preserve">La presencia en el sedimento urinario de </w:t>
      </w:r>
      <w:r w:rsidRPr="00EF3161">
        <w:rPr>
          <w:sz w:val="20"/>
          <w:szCs w:val="20"/>
        </w:rPr>
        <w:t>hematuria y/o leucocituria durante más de tres meses,</w:t>
      </w:r>
      <w:r>
        <w:rPr>
          <w:b/>
          <w:sz w:val="20"/>
          <w:szCs w:val="20"/>
        </w:rPr>
        <w:t xml:space="preserve"> </w:t>
      </w:r>
      <w:r w:rsidRPr="008F23A3">
        <w:rPr>
          <w:sz w:val="20"/>
          <w:szCs w:val="20"/>
        </w:rPr>
        <w:t>una vez se ha descartado la causa urológica o la infección de orina (incluida la tuberculosis ur</w:t>
      </w:r>
      <w:r>
        <w:rPr>
          <w:sz w:val="20"/>
          <w:szCs w:val="20"/>
        </w:rPr>
        <w:t>inaria), p</w:t>
      </w:r>
      <w:r w:rsidRPr="008F23A3">
        <w:rPr>
          <w:sz w:val="20"/>
          <w:szCs w:val="20"/>
        </w:rPr>
        <w:t>ueden ser indicio de glomerulonefritis, pielonefritis o nefritis túbulo</w:t>
      </w:r>
      <w:r>
        <w:rPr>
          <w:sz w:val="20"/>
          <w:szCs w:val="20"/>
        </w:rPr>
        <w:t>-</w:t>
      </w:r>
      <w:r w:rsidRPr="008F23A3">
        <w:rPr>
          <w:sz w:val="20"/>
          <w:szCs w:val="20"/>
        </w:rPr>
        <w:t>intersticiales crónicas.</w:t>
      </w:r>
    </w:p>
    <w:p w:rsidR="00E81B3D" w:rsidRDefault="00E81B3D" w:rsidP="00705C12">
      <w:pPr>
        <w:spacing w:before="120" w:after="120"/>
        <w:ind w:left="1701"/>
        <w:rPr>
          <w:sz w:val="20"/>
          <w:szCs w:val="20"/>
        </w:rPr>
      </w:pPr>
      <w:r w:rsidRPr="00EF3161">
        <w:rPr>
          <w:sz w:val="20"/>
          <w:szCs w:val="20"/>
        </w:rPr>
        <w:t xml:space="preserve">El sedimento urinario no se considera una prueba de cribado, aunque en las revisiones médicas de empresa o en análisis rutinarios suele realizarse. </w:t>
      </w:r>
    </w:p>
    <w:p w:rsidR="00E81B3D" w:rsidRDefault="00E81B3D" w:rsidP="00B6591E">
      <w:pPr>
        <w:numPr>
          <w:ilvl w:val="0"/>
          <w:numId w:val="2"/>
        </w:numPr>
        <w:spacing w:before="120" w:after="120"/>
        <w:ind w:left="1701" w:hanging="283"/>
        <w:rPr>
          <w:rFonts w:cs="Arial"/>
          <w:b/>
          <w:sz w:val="20"/>
          <w:szCs w:val="20"/>
        </w:rPr>
      </w:pPr>
      <w:r w:rsidRPr="00B444D2">
        <w:rPr>
          <w:rFonts w:cs="Arial"/>
          <w:b/>
          <w:sz w:val="20"/>
          <w:szCs w:val="20"/>
        </w:rPr>
        <w:t>Imágenes radiológicas patológicas</w:t>
      </w:r>
    </w:p>
    <w:p w:rsidR="00E81B3D" w:rsidRPr="008F23A3" w:rsidRDefault="00E81B3D" w:rsidP="007E30EB">
      <w:pPr>
        <w:ind w:left="1701"/>
        <w:rPr>
          <w:sz w:val="20"/>
          <w:szCs w:val="20"/>
        </w:rPr>
      </w:pPr>
      <w:r w:rsidRPr="00DB30B9">
        <w:rPr>
          <w:sz w:val="20"/>
          <w:szCs w:val="20"/>
        </w:rPr>
        <w:t xml:space="preserve">La ecografía renal permite en primer lugar descartar la presencia de patología </w:t>
      </w:r>
      <w:r w:rsidRPr="00DB30B9">
        <w:rPr>
          <w:i/>
          <w:sz w:val="20"/>
          <w:szCs w:val="20"/>
        </w:rPr>
        <w:t>obstructiva</w:t>
      </w:r>
      <w:r w:rsidRPr="00DB30B9">
        <w:rPr>
          <w:sz w:val="20"/>
          <w:szCs w:val="20"/>
        </w:rPr>
        <w:t xml:space="preserve"> de la vía urinaria</w:t>
      </w:r>
      <w:r w:rsidR="00936BE3">
        <w:rPr>
          <w:sz w:val="20"/>
          <w:szCs w:val="20"/>
        </w:rPr>
        <w:fldChar w:fldCharType="begin"/>
      </w:r>
      <w:r>
        <w:rPr>
          <w:sz w:val="20"/>
          <w:szCs w:val="20"/>
        </w:rPr>
        <w:instrText xml:space="preserve"> NOTEREF _Ref343105053 \f </w:instrText>
      </w:r>
      <w:r w:rsidR="00936BE3">
        <w:rPr>
          <w:sz w:val="20"/>
          <w:szCs w:val="20"/>
        </w:rPr>
        <w:fldChar w:fldCharType="separate"/>
      </w:r>
      <w:r w:rsidR="00852CBE" w:rsidRPr="00852CBE">
        <w:rPr>
          <w:rStyle w:val="Refdenotaalfinal"/>
        </w:rPr>
        <w:t>6</w:t>
      </w:r>
      <w:r w:rsidR="00936BE3">
        <w:rPr>
          <w:sz w:val="20"/>
          <w:szCs w:val="20"/>
        </w:rPr>
        <w:fldChar w:fldCharType="end"/>
      </w:r>
      <w:r w:rsidRPr="008F23A3">
        <w:rPr>
          <w:sz w:val="20"/>
          <w:szCs w:val="20"/>
        </w:rPr>
        <w:t xml:space="preserve"> pero también identificar anormalidades estructurales que indican la presencia de daño renal, como puede ser la </w:t>
      </w:r>
      <w:r w:rsidRPr="00DB30B9">
        <w:rPr>
          <w:sz w:val="20"/>
          <w:szCs w:val="20"/>
        </w:rPr>
        <w:t>disminución del grosor parenquimatoso, cicatrices corticales, un aumento difuso de ecogenicidad, o hallazgos más específicos como quistes múltiples con riñones grandes y disminución del FG,</w:t>
      </w:r>
      <w:r w:rsidRPr="008F23A3">
        <w:rPr>
          <w:sz w:val="20"/>
          <w:szCs w:val="20"/>
        </w:rPr>
        <w:t xml:space="preserve"> que pueden llevar al diag</w:t>
      </w:r>
      <w:r>
        <w:rPr>
          <w:sz w:val="20"/>
          <w:szCs w:val="20"/>
        </w:rPr>
        <w:t>nóstico de poliquistosis renal.</w:t>
      </w:r>
    </w:p>
    <w:p w:rsidR="00E81B3D" w:rsidRPr="00DB30B9" w:rsidRDefault="00E81B3D" w:rsidP="007E30EB">
      <w:pPr>
        <w:spacing w:before="120" w:after="120"/>
        <w:ind w:left="1701"/>
        <w:rPr>
          <w:sz w:val="20"/>
          <w:szCs w:val="20"/>
        </w:rPr>
      </w:pPr>
      <w:r w:rsidRPr="008F23A3">
        <w:rPr>
          <w:sz w:val="20"/>
          <w:szCs w:val="20"/>
        </w:rPr>
        <w:t xml:space="preserve">En presencia de antecedentes familiares conocidos, los </w:t>
      </w:r>
      <w:r w:rsidRPr="00DB30B9">
        <w:rPr>
          <w:sz w:val="20"/>
          <w:szCs w:val="20"/>
        </w:rPr>
        <w:t>criterios actuales de poliquistosis renal autosómica dominante son:</w:t>
      </w:r>
    </w:p>
    <w:p w:rsidR="00E81B3D" w:rsidRPr="00C875BD" w:rsidRDefault="00E81B3D" w:rsidP="003F020D">
      <w:pPr>
        <w:numPr>
          <w:ilvl w:val="1"/>
          <w:numId w:val="15"/>
        </w:numPr>
        <w:spacing w:before="120" w:after="120"/>
        <w:ind w:left="2127" w:hanging="284"/>
        <w:rPr>
          <w:rFonts w:cs="Arial"/>
          <w:sz w:val="20"/>
          <w:szCs w:val="20"/>
        </w:rPr>
      </w:pPr>
      <w:r w:rsidRPr="00C875BD">
        <w:rPr>
          <w:rFonts w:cs="Arial"/>
          <w:sz w:val="20"/>
          <w:szCs w:val="20"/>
        </w:rPr>
        <w:t>15-39 años: 3 o más quistes unilaterales o bilaterales</w:t>
      </w:r>
    </w:p>
    <w:p w:rsidR="00E81B3D" w:rsidRPr="00C875BD" w:rsidRDefault="00E81B3D" w:rsidP="003F020D">
      <w:pPr>
        <w:numPr>
          <w:ilvl w:val="1"/>
          <w:numId w:val="15"/>
        </w:numPr>
        <w:spacing w:before="120" w:after="120"/>
        <w:ind w:left="2127" w:hanging="284"/>
        <w:rPr>
          <w:rFonts w:cs="Arial"/>
          <w:sz w:val="20"/>
          <w:szCs w:val="20"/>
        </w:rPr>
      </w:pPr>
      <w:r w:rsidRPr="00C875BD">
        <w:rPr>
          <w:rFonts w:cs="Arial"/>
          <w:sz w:val="20"/>
          <w:szCs w:val="20"/>
        </w:rPr>
        <w:t>40-59 años: 2 o más quistes en cada riñón</w:t>
      </w:r>
    </w:p>
    <w:p w:rsidR="00E81B3D" w:rsidRPr="00C875BD" w:rsidRDefault="00E81B3D" w:rsidP="003F020D">
      <w:pPr>
        <w:numPr>
          <w:ilvl w:val="1"/>
          <w:numId w:val="15"/>
        </w:numPr>
        <w:spacing w:before="120" w:after="120"/>
        <w:ind w:left="2127" w:hanging="284"/>
        <w:rPr>
          <w:rFonts w:cs="Arial"/>
          <w:sz w:val="20"/>
          <w:szCs w:val="20"/>
        </w:rPr>
      </w:pPr>
      <w:r w:rsidRPr="00C875BD">
        <w:rPr>
          <w:rFonts w:cs="Arial"/>
          <w:sz w:val="20"/>
          <w:szCs w:val="20"/>
        </w:rPr>
        <w:t>60 años o más: 4 o más quistes en cada riñón</w:t>
      </w:r>
    </w:p>
    <w:p w:rsidR="00E81B3D" w:rsidRDefault="00E81B3D" w:rsidP="003F020D">
      <w:pPr>
        <w:numPr>
          <w:ilvl w:val="1"/>
          <w:numId w:val="15"/>
        </w:numPr>
        <w:spacing w:before="120" w:after="120"/>
        <w:ind w:left="2127" w:hanging="284"/>
        <w:rPr>
          <w:rFonts w:cs="Arial"/>
          <w:sz w:val="20"/>
          <w:szCs w:val="20"/>
        </w:rPr>
      </w:pPr>
      <w:r w:rsidRPr="00C875BD">
        <w:rPr>
          <w:rFonts w:cs="Arial"/>
          <w:sz w:val="20"/>
          <w:szCs w:val="20"/>
        </w:rPr>
        <w:t>Menos de 2 quistes en &gt; 40 años es suficiente para excluir la enfermedad.</w:t>
      </w:r>
    </w:p>
    <w:p w:rsidR="00E81B3D" w:rsidRDefault="00E81B3D" w:rsidP="007E30EB">
      <w:pPr>
        <w:spacing w:before="120" w:after="120"/>
        <w:ind w:left="1701"/>
        <w:rPr>
          <w:sz w:val="20"/>
          <w:szCs w:val="20"/>
        </w:rPr>
      </w:pPr>
      <w:r w:rsidRPr="008F23A3">
        <w:rPr>
          <w:sz w:val="20"/>
          <w:szCs w:val="20"/>
        </w:rPr>
        <w:t xml:space="preserve">Los quistes aislados NO son un criterio por ellos mismos de daño renal (los quistes simples son extraordinariamente frecuentes con la edad (24% &gt; 40 años, 50% &gt; 50 años, 100% &gt; 90 años) y no son causa de ERC. Como en el caso del sedimento, sólo deben realizarse estudios por la imagen en pacientes con ERC o en las personas que tienen antecedentes familiares o situación de riesgo de desarrollarla, así como </w:t>
      </w:r>
      <w:r w:rsidRPr="00265959">
        <w:rPr>
          <w:sz w:val="20"/>
          <w:szCs w:val="20"/>
        </w:rPr>
        <w:t>es especialmente importante en varones mayores de 60 años con ERC de reciente diagnóstico par</w:t>
      </w:r>
      <w:r w:rsidRPr="008F23A3">
        <w:rPr>
          <w:sz w:val="20"/>
          <w:szCs w:val="20"/>
        </w:rPr>
        <w:t>a descartar patología obstructiva</w:t>
      </w:r>
      <w:r>
        <w:rPr>
          <w:sz w:val="20"/>
          <w:szCs w:val="20"/>
        </w:rPr>
        <w:t>.</w:t>
      </w:r>
    </w:p>
    <w:p w:rsidR="00E81B3D" w:rsidRDefault="00E81B3D" w:rsidP="007E30EB">
      <w:pPr>
        <w:spacing w:before="120" w:after="120"/>
        <w:ind w:left="1701"/>
        <w:rPr>
          <w:sz w:val="20"/>
          <w:szCs w:val="20"/>
        </w:rPr>
      </w:pPr>
      <w:r w:rsidRPr="008F23A3">
        <w:rPr>
          <w:sz w:val="20"/>
          <w:szCs w:val="20"/>
        </w:rPr>
        <w:t xml:space="preserve">Determinadas alteraciones observadas en las </w:t>
      </w:r>
      <w:r w:rsidRPr="00265959">
        <w:rPr>
          <w:sz w:val="20"/>
          <w:szCs w:val="20"/>
        </w:rPr>
        <w:t>pielografías, tomografías, resonancias o gammagrafías que pueden ser causa de alteraciones de la función renal, se pueden considerar también criterios de daño renal.</w:t>
      </w:r>
    </w:p>
    <w:p w:rsidR="00E81B3D" w:rsidRPr="00B444D2" w:rsidRDefault="00E81B3D" w:rsidP="007E30EB">
      <w:pPr>
        <w:numPr>
          <w:ilvl w:val="0"/>
          <w:numId w:val="2"/>
        </w:numPr>
        <w:spacing w:before="120" w:after="120"/>
        <w:ind w:left="1701" w:hanging="283"/>
        <w:rPr>
          <w:rFonts w:cs="Arial"/>
          <w:b/>
          <w:sz w:val="20"/>
          <w:szCs w:val="20"/>
        </w:rPr>
      </w:pPr>
      <w:r w:rsidRPr="00B444D2">
        <w:rPr>
          <w:rFonts w:cs="Arial"/>
          <w:b/>
          <w:sz w:val="20"/>
          <w:szCs w:val="20"/>
        </w:rPr>
        <w:t>Alteraciones histológicas</w:t>
      </w:r>
    </w:p>
    <w:p w:rsidR="00E81B3D" w:rsidRDefault="00E81B3D" w:rsidP="007E30EB">
      <w:pPr>
        <w:spacing w:before="120" w:after="120"/>
        <w:ind w:left="1701"/>
        <w:rPr>
          <w:rFonts w:cs="Arial"/>
          <w:sz w:val="20"/>
          <w:szCs w:val="20"/>
        </w:rPr>
      </w:pPr>
      <w:r w:rsidRPr="008F23A3">
        <w:rPr>
          <w:sz w:val="20"/>
          <w:szCs w:val="20"/>
        </w:rPr>
        <w:t xml:space="preserve">La </w:t>
      </w:r>
      <w:r w:rsidRPr="008F23A3">
        <w:rPr>
          <w:b/>
          <w:sz w:val="20"/>
          <w:szCs w:val="20"/>
        </w:rPr>
        <w:t>biopsia renal</w:t>
      </w:r>
      <w:r w:rsidRPr="008F23A3">
        <w:rPr>
          <w:sz w:val="20"/>
          <w:szCs w:val="20"/>
        </w:rPr>
        <w:t xml:space="preserve"> proporciona el diagnóstico directo, anatómico y patológico de la enfermedad renal en los casos de enfermedades glomerulares, túbulo</w:t>
      </w:r>
      <w:r>
        <w:rPr>
          <w:sz w:val="20"/>
          <w:szCs w:val="20"/>
        </w:rPr>
        <w:t>-</w:t>
      </w:r>
      <w:r w:rsidRPr="008F23A3">
        <w:rPr>
          <w:sz w:val="20"/>
          <w:szCs w:val="20"/>
        </w:rPr>
        <w:t>intersticiales, vasculares y enfermedades sistémicas con afectación renal que pueden ser tributarias de tratamientos específicos y también en algunos casos de insuficiencia renal aguda. La indicación de biopsia forma parte del ámbito del especialista en nefrología.</w:t>
      </w:r>
    </w:p>
    <w:p w:rsidR="00E81B3D" w:rsidRPr="00B444D2" w:rsidRDefault="00E81B3D" w:rsidP="007E30EB">
      <w:pPr>
        <w:pStyle w:val="Ttulo3"/>
        <w:ind w:left="1353" w:hanging="360"/>
        <w:rPr>
          <w:rFonts w:ascii="Arial" w:hAnsi="Arial" w:cs="Arial"/>
          <w:sz w:val="20"/>
          <w:szCs w:val="20"/>
        </w:rPr>
      </w:pPr>
      <w:r>
        <w:rPr>
          <w:rFonts w:ascii="Arial" w:hAnsi="Arial" w:cs="Arial"/>
          <w:sz w:val="20"/>
          <w:szCs w:val="20"/>
        </w:rPr>
        <w:t>Nuevo clasificación</w:t>
      </w:r>
      <w:r w:rsidRPr="00B444D2">
        <w:rPr>
          <w:rFonts w:ascii="Arial" w:hAnsi="Arial" w:cs="Arial"/>
          <w:sz w:val="20"/>
          <w:szCs w:val="20"/>
        </w:rPr>
        <w:t xml:space="preserve"> de la ERC</w:t>
      </w:r>
    </w:p>
    <w:p w:rsidR="00E81B3D" w:rsidRDefault="00E81B3D" w:rsidP="002944C1">
      <w:pPr>
        <w:spacing w:before="120" w:after="120"/>
        <w:ind w:left="993"/>
        <w:rPr>
          <w:rFonts w:cs="Arial"/>
          <w:sz w:val="20"/>
          <w:szCs w:val="20"/>
        </w:rPr>
      </w:pPr>
      <w:r w:rsidRPr="009F0C29">
        <w:rPr>
          <w:rFonts w:cs="Arial"/>
          <w:sz w:val="20"/>
          <w:szCs w:val="20"/>
        </w:rPr>
        <w:t>Clásicamente se ha utilizado una clasificación en estadios de ERC ba</w:t>
      </w:r>
      <w:r>
        <w:rPr>
          <w:rFonts w:cs="Arial"/>
          <w:sz w:val="20"/>
          <w:szCs w:val="20"/>
        </w:rPr>
        <w:t xml:space="preserve">sada en el valor del FG </w:t>
      </w:r>
      <w:r w:rsidRPr="00152CC5">
        <w:rPr>
          <w:rFonts w:cs="Arial"/>
          <w:sz w:val="20"/>
          <w:szCs w:val="20"/>
        </w:rPr>
        <w:t>(Tabla 4). De</w:t>
      </w:r>
      <w:r w:rsidRPr="00835B38">
        <w:rPr>
          <w:rFonts w:cs="Arial"/>
          <w:sz w:val="20"/>
          <w:szCs w:val="20"/>
        </w:rPr>
        <w:t xml:space="preserve"> acuerdo con el FG calculado o estimado con las diversas fórmulas, se clasificaba la ERC en los siguientes </w:t>
      </w:r>
      <w:r>
        <w:rPr>
          <w:rFonts w:cs="Arial"/>
          <w:sz w:val="20"/>
          <w:szCs w:val="20"/>
        </w:rPr>
        <w:t>estadios</w:t>
      </w:r>
      <w:r w:rsidRPr="00CC5313">
        <w:rPr>
          <w:rFonts w:cs="Arial"/>
          <w:sz w:val="20"/>
          <w:szCs w:val="20"/>
        </w:rPr>
        <w:t>:</w:t>
      </w:r>
    </w:p>
    <w:p w:rsidR="00E81B3D" w:rsidRDefault="00E81B3D" w:rsidP="007E30EB">
      <w:pPr>
        <w:spacing w:before="120" w:after="120"/>
        <w:ind w:left="993"/>
        <w:rPr>
          <w:rFonts w:cs="Arial"/>
          <w:b/>
          <w:sz w:val="18"/>
          <w:szCs w:val="18"/>
        </w:rPr>
      </w:pPr>
    </w:p>
    <w:p w:rsidR="00E81B3D" w:rsidRDefault="00E81B3D" w:rsidP="00904912">
      <w:pPr>
        <w:spacing w:before="120" w:after="120"/>
        <w:ind w:left="993"/>
        <w:jc w:val="left"/>
        <w:rPr>
          <w:rFonts w:cs="Arial"/>
          <w:sz w:val="20"/>
          <w:szCs w:val="20"/>
        </w:rPr>
      </w:pPr>
      <w:r>
        <w:rPr>
          <w:rFonts w:cs="Arial"/>
          <w:b/>
          <w:sz w:val="18"/>
          <w:szCs w:val="18"/>
        </w:rPr>
        <w:t>Tabla 4</w:t>
      </w:r>
      <w:r w:rsidRPr="00E1385B">
        <w:rPr>
          <w:rFonts w:cs="Arial"/>
          <w:b/>
          <w:sz w:val="18"/>
          <w:szCs w:val="18"/>
        </w:rPr>
        <w:t xml:space="preserve">. </w:t>
      </w:r>
      <w:r>
        <w:rPr>
          <w:rFonts w:cs="Arial"/>
          <w:b/>
          <w:sz w:val="18"/>
          <w:szCs w:val="18"/>
        </w:rPr>
        <w:t>CATEGORIAS POR FG</w:t>
      </w: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425"/>
        <w:gridCol w:w="2977"/>
        <w:gridCol w:w="3260"/>
      </w:tblGrid>
      <w:tr w:rsidR="00E81B3D" w:rsidRPr="00A16E13" w:rsidTr="009E01A8">
        <w:trPr>
          <w:trHeight w:val="150"/>
        </w:trPr>
        <w:tc>
          <w:tcPr>
            <w:tcW w:w="2693" w:type="dxa"/>
            <w:gridSpan w:val="2"/>
            <w:vAlign w:val="center"/>
          </w:tcPr>
          <w:p w:rsidR="00E81B3D" w:rsidRPr="009E01A8" w:rsidRDefault="00E81B3D" w:rsidP="00B1318D">
            <w:pPr>
              <w:jc w:val="left"/>
              <w:rPr>
                <w:b/>
                <w:sz w:val="16"/>
                <w:szCs w:val="16"/>
              </w:rPr>
            </w:pPr>
            <w:r w:rsidRPr="009E01A8">
              <w:rPr>
                <w:b/>
                <w:sz w:val="16"/>
                <w:szCs w:val="16"/>
              </w:rPr>
              <w:t>Estadio ERC</w:t>
            </w:r>
          </w:p>
        </w:tc>
        <w:tc>
          <w:tcPr>
            <w:tcW w:w="2977" w:type="dxa"/>
            <w:vAlign w:val="center"/>
          </w:tcPr>
          <w:p w:rsidR="00E81B3D" w:rsidRPr="009E01A8" w:rsidRDefault="00E81B3D" w:rsidP="00B1318D">
            <w:pPr>
              <w:jc w:val="left"/>
              <w:rPr>
                <w:b/>
                <w:sz w:val="16"/>
                <w:szCs w:val="16"/>
              </w:rPr>
            </w:pPr>
            <w:r w:rsidRPr="009E01A8">
              <w:rPr>
                <w:b/>
                <w:sz w:val="16"/>
                <w:szCs w:val="16"/>
              </w:rPr>
              <w:t>FG (ml / min / 1,73 m</w:t>
            </w:r>
            <w:r w:rsidRPr="009E01A8">
              <w:rPr>
                <w:b/>
                <w:sz w:val="16"/>
                <w:szCs w:val="16"/>
                <w:vertAlign w:val="superscript"/>
              </w:rPr>
              <w:t>2</w:t>
            </w:r>
            <w:r w:rsidRPr="009E01A8">
              <w:rPr>
                <w:b/>
                <w:sz w:val="16"/>
                <w:szCs w:val="16"/>
              </w:rPr>
              <w:t>)</w:t>
            </w:r>
          </w:p>
        </w:tc>
        <w:tc>
          <w:tcPr>
            <w:tcW w:w="3260" w:type="dxa"/>
            <w:vAlign w:val="center"/>
          </w:tcPr>
          <w:p w:rsidR="00E81B3D" w:rsidRPr="009E01A8" w:rsidRDefault="00E81B3D" w:rsidP="00B1318D">
            <w:pPr>
              <w:jc w:val="left"/>
              <w:rPr>
                <w:b/>
                <w:sz w:val="16"/>
                <w:szCs w:val="16"/>
              </w:rPr>
            </w:pPr>
            <w:r w:rsidRPr="009E01A8">
              <w:rPr>
                <w:b/>
                <w:sz w:val="16"/>
                <w:szCs w:val="16"/>
              </w:rPr>
              <w:t>Descripción</w:t>
            </w:r>
          </w:p>
        </w:tc>
      </w:tr>
      <w:tr w:rsidR="00E81B3D" w:rsidRPr="00A16E13" w:rsidTr="009E01A8">
        <w:trPr>
          <w:trHeight w:val="111"/>
        </w:trPr>
        <w:tc>
          <w:tcPr>
            <w:tcW w:w="2693" w:type="dxa"/>
            <w:gridSpan w:val="2"/>
            <w:vAlign w:val="center"/>
          </w:tcPr>
          <w:p w:rsidR="00E81B3D" w:rsidRPr="009E01A8" w:rsidRDefault="00E81B3D" w:rsidP="00B1318D">
            <w:pPr>
              <w:jc w:val="left"/>
              <w:rPr>
                <w:sz w:val="16"/>
                <w:szCs w:val="16"/>
              </w:rPr>
            </w:pPr>
            <w:r w:rsidRPr="009E01A8">
              <w:rPr>
                <w:sz w:val="16"/>
                <w:szCs w:val="16"/>
                <w:lang w:val="it-IT"/>
              </w:rPr>
              <w:t>1</w:t>
            </w:r>
          </w:p>
        </w:tc>
        <w:tc>
          <w:tcPr>
            <w:tcW w:w="2977" w:type="dxa"/>
            <w:vAlign w:val="center"/>
          </w:tcPr>
          <w:p w:rsidR="00E81B3D" w:rsidRPr="009E01A8" w:rsidRDefault="00E81B3D" w:rsidP="00B1318D">
            <w:pPr>
              <w:jc w:val="left"/>
              <w:rPr>
                <w:sz w:val="16"/>
                <w:szCs w:val="16"/>
              </w:rPr>
            </w:pPr>
            <w:r w:rsidRPr="009E01A8">
              <w:rPr>
                <w:rFonts w:cs="Arial"/>
                <w:sz w:val="16"/>
                <w:szCs w:val="16"/>
              </w:rPr>
              <w:t>≥</w:t>
            </w:r>
            <w:r w:rsidRPr="009E01A8">
              <w:rPr>
                <w:sz w:val="16"/>
                <w:szCs w:val="16"/>
              </w:rPr>
              <w:t>90</w:t>
            </w:r>
          </w:p>
        </w:tc>
        <w:tc>
          <w:tcPr>
            <w:tcW w:w="3260" w:type="dxa"/>
            <w:vAlign w:val="center"/>
          </w:tcPr>
          <w:p w:rsidR="00E81B3D" w:rsidRPr="009E01A8" w:rsidRDefault="00E81B3D" w:rsidP="00B1318D">
            <w:pPr>
              <w:jc w:val="left"/>
              <w:rPr>
                <w:sz w:val="16"/>
                <w:szCs w:val="16"/>
              </w:rPr>
            </w:pPr>
            <w:r w:rsidRPr="009E01A8">
              <w:rPr>
                <w:sz w:val="16"/>
                <w:szCs w:val="16"/>
              </w:rPr>
              <w:t>Daño renal con FG normal</w:t>
            </w:r>
          </w:p>
        </w:tc>
      </w:tr>
      <w:tr w:rsidR="00E81B3D" w:rsidRPr="00A16E13" w:rsidTr="009E01A8">
        <w:trPr>
          <w:trHeight w:val="88"/>
        </w:trPr>
        <w:tc>
          <w:tcPr>
            <w:tcW w:w="2693" w:type="dxa"/>
            <w:gridSpan w:val="2"/>
            <w:vAlign w:val="center"/>
          </w:tcPr>
          <w:p w:rsidR="00E81B3D" w:rsidRPr="009E01A8" w:rsidRDefault="00E81B3D" w:rsidP="00B1318D">
            <w:pPr>
              <w:jc w:val="left"/>
              <w:rPr>
                <w:sz w:val="16"/>
                <w:szCs w:val="16"/>
              </w:rPr>
            </w:pPr>
            <w:r w:rsidRPr="009E01A8">
              <w:rPr>
                <w:sz w:val="16"/>
                <w:szCs w:val="16"/>
                <w:lang w:val="it-IT"/>
              </w:rPr>
              <w:t>2</w:t>
            </w:r>
          </w:p>
        </w:tc>
        <w:tc>
          <w:tcPr>
            <w:tcW w:w="2977" w:type="dxa"/>
            <w:vAlign w:val="center"/>
          </w:tcPr>
          <w:p w:rsidR="00E81B3D" w:rsidRPr="009E01A8" w:rsidRDefault="00E81B3D" w:rsidP="00B1318D">
            <w:pPr>
              <w:jc w:val="left"/>
              <w:rPr>
                <w:sz w:val="16"/>
                <w:szCs w:val="16"/>
              </w:rPr>
            </w:pPr>
            <w:r w:rsidRPr="009E01A8">
              <w:rPr>
                <w:sz w:val="16"/>
                <w:szCs w:val="16"/>
              </w:rPr>
              <w:t>60-89</w:t>
            </w:r>
          </w:p>
        </w:tc>
        <w:tc>
          <w:tcPr>
            <w:tcW w:w="3260" w:type="dxa"/>
            <w:vAlign w:val="center"/>
          </w:tcPr>
          <w:p w:rsidR="00E81B3D" w:rsidRPr="009E01A8" w:rsidRDefault="00E81B3D" w:rsidP="00B1318D">
            <w:pPr>
              <w:jc w:val="left"/>
              <w:rPr>
                <w:sz w:val="16"/>
                <w:szCs w:val="16"/>
              </w:rPr>
            </w:pPr>
            <w:r w:rsidRPr="009E01A8">
              <w:rPr>
                <w:sz w:val="16"/>
                <w:szCs w:val="16"/>
              </w:rPr>
              <w:t>Daño renal y ligero descenso del FG</w:t>
            </w:r>
          </w:p>
        </w:tc>
      </w:tr>
      <w:tr w:rsidR="00E81B3D" w:rsidRPr="00A16E13" w:rsidTr="009E01A8">
        <w:trPr>
          <w:trHeight w:val="177"/>
        </w:trPr>
        <w:tc>
          <w:tcPr>
            <w:tcW w:w="2268" w:type="dxa"/>
            <w:vAlign w:val="center"/>
          </w:tcPr>
          <w:p w:rsidR="00E81B3D" w:rsidRPr="009E01A8" w:rsidRDefault="00E81B3D" w:rsidP="00B1318D">
            <w:pPr>
              <w:jc w:val="left"/>
              <w:rPr>
                <w:sz w:val="16"/>
                <w:szCs w:val="16"/>
                <w:lang w:val="it-IT"/>
              </w:rPr>
            </w:pPr>
            <w:r w:rsidRPr="009E01A8">
              <w:rPr>
                <w:sz w:val="16"/>
                <w:szCs w:val="16"/>
                <w:lang w:val="it-IT"/>
              </w:rPr>
              <w:t>3</w:t>
            </w:r>
            <w:r>
              <w:rPr>
                <w:sz w:val="16"/>
                <w:szCs w:val="16"/>
                <w:lang w:val="it-IT"/>
              </w:rPr>
              <w:t>°</w:t>
            </w:r>
          </w:p>
        </w:tc>
        <w:tc>
          <w:tcPr>
            <w:tcW w:w="425" w:type="dxa"/>
            <w:vMerge w:val="restart"/>
            <w:textDirection w:val="tbRl"/>
          </w:tcPr>
          <w:p w:rsidR="00E81B3D" w:rsidRPr="009E01A8" w:rsidRDefault="00E81B3D" w:rsidP="00B1318D">
            <w:pPr>
              <w:ind w:left="113" w:right="113"/>
              <w:jc w:val="center"/>
              <w:rPr>
                <w:sz w:val="16"/>
                <w:szCs w:val="16"/>
              </w:rPr>
            </w:pPr>
            <w:r w:rsidRPr="009E01A8">
              <w:rPr>
                <w:sz w:val="16"/>
                <w:szCs w:val="16"/>
              </w:rPr>
              <w:t>IRC*</w:t>
            </w:r>
          </w:p>
        </w:tc>
        <w:tc>
          <w:tcPr>
            <w:tcW w:w="2977" w:type="dxa"/>
            <w:vAlign w:val="center"/>
          </w:tcPr>
          <w:p w:rsidR="00E81B3D" w:rsidRPr="009E01A8" w:rsidRDefault="00E81B3D" w:rsidP="00B1318D">
            <w:pPr>
              <w:jc w:val="left"/>
              <w:rPr>
                <w:sz w:val="16"/>
                <w:szCs w:val="16"/>
              </w:rPr>
            </w:pPr>
            <w:r w:rsidRPr="009E01A8">
              <w:rPr>
                <w:sz w:val="16"/>
                <w:szCs w:val="16"/>
              </w:rPr>
              <w:t>45-59</w:t>
            </w:r>
          </w:p>
        </w:tc>
        <w:tc>
          <w:tcPr>
            <w:tcW w:w="3260" w:type="dxa"/>
            <w:vAlign w:val="center"/>
          </w:tcPr>
          <w:p w:rsidR="00E81B3D" w:rsidRPr="009E01A8" w:rsidRDefault="00E81B3D" w:rsidP="00B1318D">
            <w:pPr>
              <w:jc w:val="left"/>
              <w:rPr>
                <w:sz w:val="16"/>
                <w:szCs w:val="16"/>
              </w:rPr>
            </w:pPr>
            <w:r w:rsidRPr="009E01A8">
              <w:rPr>
                <w:sz w:val="16"/>
                <w:szCs w:val="16"/>
              </w:rPr>
              <w:t>Descenso ligero - moderado del FG</w:t>
            </w:r>
          </w:p>
        </w:tc>
      </w:tr>
      <w:tr w:rsidR="00E81B3D" w:rsidRPr="00A16E13" w:rsidTr="009E01A8">
        <w:trPr>
          <w:trHeight w:val="139"/>
        </w:trPr>
        <w:tc>
          <w:tcPr>
            <w:tcW w:w="2268" w:type="dxa"/>
            <w:vAlign w:val="center"/>
          </w:tcPr>
          <w:p w:rsidR="00E81B3D" w:rsidRPr="009E01A8" w:rsidRDefault="00E81B3D" w:rsidP="00B1318D">
            <w:pPr>
              <w:jc w:val="left"/>
              <w:rPr>
                <w:sz w:val="16"/>
                <w:szCs w:val="16"/>
                <w:lang w:val="it-IT"/>
              </w:rPr>
            </w:pPr>
            <w:r w:rsidRPr="009E01A8">
              <w:rPr>
                <w:sz w:val="16"/>
                <w:szCs w:val="16"/>
                <w:lang w:val="it-IT"/>
              </w:rPr>
              <w:t>3B</w:t>
            </w:r>
          </w:p>
        </w:tc>
        <w:tc>
          <w:tcPr>
            <w:tcW w:w="425" w:type="dxa"/>
            <w:vMerge/>
          </w:tcPr>
          <w:p w:rsidR="00E81B3D" w:rsidRPr="009E01A8" w:rsidRDefault="00E81B3D" w:rsidP="00B1318D">
            <w:pPr>
              <w:jc w:val="left"/>
              <w:rPr>
                <w:sz w:val="16"/>
                <w:szCs w:val="16"/>
              </w:rPr>
            </w:pPr>
          </w:p>
        </w:tc>
        <w:tc>
          <w:tcPr>
            <w:tcW w:w="2977" w:type="dxa"/>
            <w:vAlign w:val="center"/>
          </w:tcPr>
          <w:p w:rsidR="00E81B3D" w:rsidRPr="009E01A8" w:rsidRDefault="00E81B3D" w:rsidP="00B1318D">
            <w:pPr>
              <w:jc w:val="left"/>
              <w:rPr>
                <w:sz w:val="16"/>
                <w:szCs w:val="16"/>
              </w:rPr>
            </w:pPr>
            <w:r w:rsidRPr="009E01A8">
              <w:rPr>
                <w:sz w:val="16"/>
                <w:szCs w:val="16"/>
              </w:rPr>
              <w:t>30-44</w:t>
            </w:r>
          </w:p>
        </w:tc>
        <w:tc>
          <w:tcPr>
            <w:tcW w:w="3260" w:type="dxa"/>
            <w:vAlign w:val="center"/>
          </w:tcPr>
          <w:p w:rsidR="00E81B3D" w:rsidRPr="009E01A8" w:rsidRDefault="00E81B3D" w:rsidP="00B1318D">
            <w:pPr>
              <w:jc w:val="left"/>
              <w:rPr>
                <w:sz w:val="16"/>
                <w:szCs w:val="16"/>
              </w:rPr>
            </w:pPr>
            <w:r w:rsidRPr="009E01A8">
              <w:rPr>
                <w:sz w:val="16"/>
                <w:szCs w:val="16"/>
              </w:rPr>
              <w:t>Descenso moderado de FG</w:t>
            </w:r>
          </w:p>
        </w:tc>
      </w:tr>
      <w:tr w:rsidR="00E81B3D" w:rsidRPr="00A16E13" w:rsidTr="009E01A8">
        <w:trPr>
          <w:trHeight w:val="87"/>
        </w:trPr>
        <w:tc>
          <w:tcPr>
            <w:tcW w:w="2268" w:type="dxa"/>
            <w:vAlign w:val="center"/>
          </w:tcPr>
          <w:p w:rsidR="00E81B3D" w:rsidRPr="009E01A8" w:rsidRDefault="00E81B3D" w:rsidP="00B1318D">
            <w:pPr>
              <w:jc w:val="left"/>
              <w:rPr>
                <w:sz w:val="16"/>
                <w:szCs w:val="16"/>
                <w:lang w:val="it-IT"/>
              </w:rPr>
            </w:pPr>
            <w:r w:rsidRPr="009E01A8">
              <w:rPr>
                <w:sz w:val="16"/>
                <w:szCs w:val="16"/>
                <w:lang w:val="it-IT"/>
              </w:rPr>
              <w:t>4</w:t>
            </w:r>
          </w:p>
        </w:tc>
        <w:tc>
          <w:tcPr>
            <w:tcW w:w="425" w:type="dxa"/>
            <w:vMerge/>
          </w:tcPr>
          <w:p w:rsidR="00E81B3D" w:rsidRPr="009E01A8" w:rsidRDefault="00E81B3D" w:rsidP="00B1318D">
            <w:pPr>
              <w:jc w:val="left"/>
              <w:rPr>
                <w:sz w:val="16"/>
                <w:szCs w:val="16"/>
              </w:rPr>
            </w:pPr>
          </w:p>
        </w:tc>
        <w:tc>
          <w:tcPr>
            <w:tcW w:w="2977" w:type="dxa"/>
            <w:vAlign w:val="center"/>
          </w:tcPr>
          <w:p w:rsidR="00E81B3D" w:rsidRPr="009E01A8" w:rsidRDefault="00E81B3D" w:rsidP="00B1318D">
            <w:pPr>
              <w:jc w:val="left"/>
              <w:rPr>
                <w:sz w:val="16"/>
                <w:szCs w:val="16"/>
              </w:rPr>
            </w:pPr>
            <w:r w:rsidRPr="009E01A8">
              <w:rPr>
                <w:sz w:val="16"/>
                <w:szCs w:val="16"/>
              </w:rPr>
              <w:t>15-29</w:t>
            </w:r>
          </w:p>
        </w:tc>
        <w:tc>
          <w:tcPr>
            <w:tcW w:w="3260" w:type="dxa"/>
            <w:vAlign w:val="center"/>
          </w:tcPr>
          <w:p w:rsidR="00E81B3D" w:rsidRPr="009E01A8" w:rsidRDefault="00E81B3D" w:rsidP="00B1318D">
            <w:pPr>
              <w:jc w:val="left"/>
              <w:rPr>
                <w:sz w:val="16"/>
                <w:szCs w:val="16"/>
              </w:rPr>
            </w:pPr>
            <w:r w:rsidRPr="009E01A8">
              <w:rPr>
                <w:sz w:val="16"/>
                <w:szCs w:val="16"/>
              </w:rPr>
              <w:t>Descenso grave de FG</w:t>
            </w:r>
          </w:p>
        </w:tc>
      </w:tr>
      <w:tr w:rsidR="00E81B3D" w:rsidRPr="00A16E13" w:rsidTr="009E01A8">
        <w:trPr>
          <w:trHeight w:val="140"/>
        </w:trPr>
        <w:tc>
          <w:tcPr>
            <w:tcW w:w="2268" w:type="dxa"/>
            <w:vAlign w:val="center"/>
          </w:tcPr>
          <w:p w:rsidR="00E81B3D" w:rsidRPr="009E01A8" w:rsidRDefault="00E81B3D" w:rsidP="00B1318D">
            <w:pPr>
              <w:jc w:val="left"/>
              <w:rPr>
                <w:sz w:val="16"/>
                <w:szCs w:val="16"/>
                <w:lang w:val="it-IT"/>
              </w:rPr>
            </w:pPr>
            <w:r w:rsidRPr="009E01A8">
              <w:rPr>
                <w:sz w:val="16"/>
                <w:szCs w:val="16"/>
                <w:lang w:val="it-IT"/>
              </w:rPr>
              <w:t>5</w:t>
            </w:r>
          </w:p>
        </w:tc>
        <w:tc>
          <w:tcPr>
            <w:tcW w:w="425" w:type="dxa"/>
            <w:vMerge/>
          </w:tcPr>
          <w:p w:rsidR="00E81B3D" w:rsidRPr="009E01A8" w:rsidRDefault="00E81B3D" w:rsidP="00B1318D">
            <w:pPr>
              <w:jc w:val="left"/>
              <w:rPr>
                <w:sz w:val="16"/>
                <w:szCs w:val="16"/>
              </w:rPr>
            </w:pPr>
          </w:p>
        </w:tc>
        <w:tc>
          <w:tcPr>
            <w:tcW w:w="2977" w:type="dxa"/>
            <w:vAlign w:val="center"/>
          </w:tcPr>
          <w:p w:rsidR="00E81B3D" w:rsidRPr="009E01A8" w:rsidRDefault="00E81B3D" w:rsidP="00B1318D">
            <w:pPr>
              <w:jc w:val="left"/>
              <w:rPr>
                <w:sz w:val="16"/>
                <w:szCs w:val="16"/>
              </w:rPr>
            </w:pPr>
            <w:r w:rsidRPr="009E01A8">
              <w:rPr>
                <w:sz w:val="16"/>
                <w:szCs w:val="16"/>
              </w:rPr>
              <w:t>&lt;15</w:t>
            </w:r>
          </w:p>
        </w:tc>
        <w:tc>
          <w:tcPr>
            <w:tcW w:w="3260" w:type="dxa"/>
            <w:vAlign w:val="center"/>
          </w:tcPr>
          <w:p w:rsidR="00E81B3D" w:rsidRPr="009E01A8" w:rsidRDefault="00E81B3D" w:rsidP="00B1318D">
            <w:pPr>
              <w:jc w:val="left"/>
              <w:rPr>
                <w:sz w:val="16"/>
                <w:szCs w:val="16"/>
              </w:rPr>
            </w:pPr>
            <w:r w:rsidRPr="009E01A8">
              <w:rPr>
                <w:sz w:val="16"/>
                <w:szCs w:val="16"/>
              </w:rPr>
              <w:t>Prediálisis</w:t>
            </w:r>
          </w:p>
        </w:tc>
      </w:tr>
      <w:tr w:rsidR="00E81B3D" w:rsidRPr="00A16E13" w:rsidTr="009E01A8">
        <w:trPr>
          <w:trHeight w:val="89"/>
        </w:trPr>
        <w:tc>
          <w:tcPr>
            <w:tcW w:w="2268" w:type="dxa"/>
            <w:vAlign w:val="center"/>
          </w:tcPr>
          <w:p w:rsidR="00E81B3D" w:rsidRPr="009E01A8" w:rsidRDefault="00E81B3D" w:rsidP="00B1318D">
            <w:pPr>
              <w:jc w:val="left"/>
              <w:rPr>
                <w:sz w:val="16"/>
                <w:szCs w:val="16"/>
                <w:lang w:val="it-IT"/>
              </w:rPr>
            </w:pPr>
            <w:r w:rsidRPr="009E01A8">
              <w:rPr>
                <w:sz w:val="16"/>
                <w:szCs w:val="16"/>
                <w:lang w:val="it-IT"/>
              </w:rPr>
              <w:t>5D</w:t>
            </w:r>
          </w:p>
        </w:tc>
        <w:tc>
          <w:tcPr>
            <w:tcW w:w="425" w:type="dxa"/>
            <w:vMerge/>
          </w:tcPr>
          <w:p w:rsidR="00E81B3D" w:rsidRPr="009E01A8" w:rsidRDefault="00E81B3D" w:rsidP="00B1318D">
            <w:pPr>
              <w:jc w:val="left"/>
              <w:rPr>
                <w:sz w:val="16"/>
                <w:szCs w:val="16"/>
              </w:rPr>
            </w:pPr>
          </w:p>
        </w:tc>
        <w:tc>
          <w:tcPr>
            <w:tcW w:w="2977" w:type="dxa"/>
            <w:vAlign w:val="center"/>
          </w:tcPr>
          <w:p w:rsidR="00E81B3D" w:rsidRPr="009E01A8" w:rsidRDefault="00E81B3D" w:rsidP="00B1318D">
            <w:pPr>
              <w:jc w:val="left"/>
              <w:rPr>
                <w:sz w:val="16"/>
                <w:szCs w:val="16"/>
              </w:rPr>
            </w:pPr>
            <w:r w:rsidRPr="009E01A8">
              <w:rPr>
                <w:sz w:val="16"/>
                <w:szCs w:val="16"/>
              </w:rPr>
              <w:t>Diálisis</w:t>
            </w:r>
          </w:p>
        </w:tc>
        <w:tc>
          <w:tcPr>
            <w:tcW w:w="3260" w:type="dxa"/>
            <w:vAlign w:val="center"/>
          </w:tcPr>
          <w:p w:rsidR="00E81B3D" w:rsidRPr="009E01A8" w:rsidRDefault="00E81B3D" w:rsidP="00B1318D">
            <w:pPr>
              <w:jc w:val="left"/>
              <w:rPr>
                <w:sz w:val="16"/>
                <w:szCs w:val="16"/>
              </w:rPr>
            </w:pPr>
            <w:r w:rsidRPr="009E01A8">
              <w:rPr>
                <w:sz w:val="16"/>
                <w:szCs w:val="16"/>
              </w:rPr>
              <w:t>Diálisis</w:t>
            </w:r>
          </w:p>
        </w:tc>
      </w:tr>
    </w:tbl>
    <w:p w:rsidR="00E81B3D" w:rsidRPr="00851235" w:rsidRDefault="00E81B3D" w:rsidP="007E30EB">
      <w:pPr>
        <w:spacing w:before="120" w:after="120"/>
        <w:ind w:left="993"/>
        <w:rPr>
          <w:sz w:val="16"/>
          <w:szCs w:val="16"/>
        </w:rPr>
      </w:pPr>
      <w:r w:rsidRPr="00851235">
        <w:rPr>
          <w:sz w:val="16"/>
          <w:szCs w:val="16"/>
        </w:rPr>
        <w:t>*Insuficiencia renal crónica</w:t>
      </w:r>
    </w:p>
    <w:p w:rsidR="00E81B3D" w:rsidRDefault="00E81B3D" w:rsidP="007E30EB">
      <w:pPr>
        <w:spacing w:before="120" w:after="120"/>
        <w:ind w:left="993"/>
        <w:rPr>
          <w:b/>
          <w:sz w:val="20"/>
          <w:szCs w:val="20"/>
        </w:rPr>
      </w:pPr>
    </w:p>
    <w:p w:rsidR="00E81B3D" w:rsidRPr="0049306A" w:rsidRDefault="00E81B3D" w:rsidP="007E30EB">
      <w:pPr>
        <w:spacing w:before="120" w:after="120"/>
        <w:ind w:left="993"/>
        <w:rPr>
          <w:rFonts w:cs="Arial"/>
          <w:b/>
          <w:sz w:val="20"/>
          <w:szCs w:val="20"/>
        </w:rPr>
      </w:pPr>
      <w:r w:rsidRPr="0049306A">
        <w:rPr>
          <w:b/>
          <w:sz w:val="20"/>
          <w:szCs w:val="20"/>
        </w:rPr>
        <w:lastRenderedPageBreak/>
        <w:t>Aclaraciones finales Tabla 4</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Ya se ha mencionado la importancia de la confirmación de las alteraciones en un período de al menos 3 meses (para distinguir de problemas renales agudos).</w:t>
      </w:r>
    </w:p>
    <w:p w:rsidR="00E81B3D" w:rsidRPr="00C875BD" w:rsidRDefault="00E81B3D" w:rsidP="007E30EB">
      <w:pPr>
        <w:numPr>
          <w:ilvl w:val="0"/>
          <w:numId w:val="8"/>
        </w:numPr>
        <w:spacing w:before="120" w:after="120"/>
        <w:rPr>
          <w:rFonts w:cs="Arial"/>
          <w:sz w:val="20"/>
          <w:szCs w:val="20"/>
        </w:rPr>
      </w:pPr>
      <w:r w:rsidRPr="0049306A">
        <w:rPr>
          <w:rFonts w:cs="Arial"/>
          <w:sz w:val="20"/>
          <w:szCs w:val="20"/>
        </w:rPr>
        <w:t>En el caso de FG entre 60-89 ml/min/1,73 m</w:t>
      </w:r>
      <w:r w:rsidRPr="0049306A">
        <w:rPr>
          <w:rFonts w:cs="Arial"/>
          <w:sz w:val="20"/>
          <w:szCs w:val="20"/>
          <w:vertAlign w:val="superscript"/>
        </w:rPr>
        <w:t>2</w:t>
      </w:r>
      <w:r w:rsidRPr="0049306A">
        <w:rPr>
          <w:rFonts w:cs="Arial"/>
          <w:sz w:val="20"/>
          <w:szCs w:val="20"/>
        </w:rPr>
        <w:t>, sin la presencia de lesión renal (sin</w:t>
      </w:r>
      <w:r w:rsidRPr="00C875BD">
        <w:rPr>
          <w:rFonts w:cs="Arial"/>
          <w:sz w:val="20"/>
          <w:szCs w:val="20"/>
        </w:rPr>
        <w:t xml:space="preserve"> albuminuria/proteinuria elevada y con sedimento e i</w:t>
      </w:r>
      <w:r>
        <w:rPr>
          <w:rFonts w:cs="Arial"/>
          <w:sz w:val="20"/>
          <w:szCs w:val="20"/>
        </w:rPr>
        <w:t>magen renal normales) se habla</w:t>
      </w:r>
      <w:r w:rsidRPr="00C875BD">
        <w:rPr>
          <w:rFonts w:cs="Arial"/>
          <w:sz w:val="20"/>
          <w:szCs w:val="20"/>
        </w:rPr>
        <w:t xml:space="preserve"> de FG disminuido sin ERC (una situación frecuente en las personas mayores). Estos pacientes no deben ser sometidos a ninguna intervención específica.</w:t>
      </w:r>
    </w:p>
    <w:p w:rsidR="00E81B3D" w:rsidRPr="0049306A" w:rsidRDefault="00E81B3D" w:rsidP="007E30EB">
      <w:pPr>
        <w:numPr>
          <w:ilvl w:val="0"/>
          <w:numId w:val="8"/>
        </w:numPr>
        <w:spacing w:before="120" w:after="120"/>
        <w:rPr>
          <w:rFonts w:cs="Arial"/>
          <w:sz w:val="20"/>
          <w:szCs w:val="20"/>
        </w:rPr>
      </w:pPr>
      <w:r w:rsidRPr="00C875BD">
        <w:rPr>
          <w:rFonts w:cs="Arial"/>
          <w:sz w:val="20"/>
          <w:szCs w:val="20"/>
        </w:rPr>
        <w:t xml:space="preserve">Los </w:t>
      </w:r>
      <w:r w:rsidRPr="0049306A">
        <w:rPr>
          <w:rFonts w:cs="Arial"/>
          <w:sz w:val="20"/>
          <w:szCs w:val="20"/>
        </w:rPr>
        <w:t>estadios 3-5 son los que se conocían habitualmente como “insuficiencia renal crónica” que, aunque es un concepto obsoleto y poco preciso, está aún muy introducido en la comunidad médica.</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El estadio 5 o la inclusión en un programa de diálisis o necesidad de tratamiento sustitutivo se ha usado también previamente el término de fracaso renal.</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Un FG &lt; 60 ml/min/1,73 m</w:t>
      </w:r>
      <w:r w:rsidRPr="0049306A">
        <w:rPr>
          <w:rFonts w:cs="Arial"/>
          <w:sz w:val="20"/>
          <w:szCs w:val="20"/>
          <w:vertAlign w:val="superscript"/>
        </w:rPr>
        <w:t>2</w:t>
      </w:r>
      <w:r w:rsidRPr="0049306A">
        <w:rPr>
          <w:rFonts w:cs="Arial"/>
          <w:sz w:val="20"/>
          <w:szCs w:val="20"/>
        </w:rPr>
        <w:t xml:space="preserve"> confirmado en un intervalo de tiempo mínimo de 3 meses, con o sin lesión renal, es siempre diagnóstico de ERC especialmente si hay factores de riesgo de enfermedad renal (y se han descartado fármacos o factores agudos que pueden inducir a una disminución transitoria del FG</w:t>
      </w:r>
      <w:r>
        <w:rPr>
          <w:rFonts w:cs="Arial"/>
          <w:sz w:val="20"/>
          <w:szCs w:val="20"/>
        </w:rPr>
        <w:t>)</w:t>
      </w:r>
      <w:r w:rsidRPr="0049306A">
        <w:rPr>
          <w:rFonts w:cs="Arial"/>
          <w:sz w:val="20"/>
          <w:szCs w:val="20"/>
        </w:rPr>
        <w:t>.</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 xml:space="preserve">Las personas en programa de diálisis se engloban en el estadio 5D. </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En las personas trasplantadas renales, por definición afectas de ERC, se utilizan los estadios 1T, 2T, 3T, 4T y 5T.</w:t>
      </w:r>
    </w:p>
    <w:p w:rsidR="00E81B3D" w:rsidRPr="0049306A" w:rsidRDefault="00E81B3D" w:rsidP="007E30EB">
      <w:pPr>
        <w:spacing w:before="120" w:after="120"/>
        <w:ind w:left="993"/>
        <w:rPr>
          <w:rFonts w:cs="Arial"/>
          <w:sz w:val="20"/>
          <w:szCs w:val="20"/>
        </w:rPr>
      </w:pPr>
      <w:r w:rsidRPr="0049306A">
        <w:rPr>
          <w:rFonts w:cs="Arial"/>
          <w:sz w:val="20"/>
          <w:szCs w:val="20"/>
        </w:rPr>
        <w:t>Recientemente, a partir de los resultados de distintos estudios clínicos que incluyen individuos normales, individuos con riesgo de desarrollar ERC y pacientes con ERC, la organización internacional KDIGO ha estado valorando la posibilidad de establecer una nueva clasificación pronóstica de la ERC basada en estadios de FG y albuminuria</w:t>
      </w:r>
      <w:fldSimple w:instr=" NOTEREF _Ref343104596 \f  \* MERGEFORMAT ">
        <w:r w:rsidR="00852CBE" w:rsidRPr="00852CBE">
          <w:rPr>
            <w:rStyle w:val="Refdenotaalfinal"/>
            <w:sz w:val="20"/>
            <w:szCs w:val="20"/>
          </w:rPr>
          <w:t>2</w:t>
        </w:r>
      </w:fldSimple>
      <w:r>
        <w:rPr>
          <w:rFonts w:cs="Arial"/>
          <w:sz w:val="20"/>
          <w:szCs w:val="20"/>
        </w:rPr>
        <w:t xml:space="preserve">. </w:t>
      </w:r>
      <w:r w:rsidRPr="0049306A">
        <w:rPr>
          <w:rFonts w:cs="Arial"/>
          <w:sz w:val="20"/>
          <w:szCs w:val="20"/>
        </w:rPr>
        <w:t>Esta clasificación inicialmente contemplaba una división de 6 categorías de riesgo en función del FG (G1-G5) que se complementaban con 3 categorías de riesgo según la concentración del cociente A/CR: A1 para valores óptimos y normales-altos (&lt; 10 mg/g y 10-29 mg/g); A2 para valores altos (30-299 mg/g) y A3 que incluiría valores altos y de rango nefrótico (300-1999 y &gt; 2000 mg/g, respectivamente)</w:t>
      </w:r>
      <w:fldSimple w:instr=" NOTEREF _Ref343104596 \f  \* MERGEFORMAT ">
        <w:r w:rsidR="00852CBE" w:rsidRPr="00852CBE">
          <w:rPr>
            <w:rStyle w:val="Refdenotaalfinal"/>
          </w:rPr>
          <w:t>2</w:t>
        </w:r>
      </w:fldSimple>
      <w:r w:rsidRPr="0028115E">
        <w:rPr>
          <w:rStyle w:val="Refdenotaalfinal"/>
        </w:rPr>
        <w:t>.</w:t>
      </w:r>
    </w:p>
    <w:p w:rsidR="00E81B3D" w:rsidRDefault="00E81B3D" w:rsidP="007E30EB">
      <w:pPr>
        <w:spacing w:before="120" w:after="120"/>
        <w:ind w:left="1418"/>
        <w:rPr>
          <w:rFonts w:cs="Arial"/>
          <w:b/>
          <w:sz w:val="18"/>
          <w:szCs w:val="18"/>
        </w:rPr>
      </w:pPr>
    </w:p>
    <w:p w:rsidR="00E81B3D" w:rsidRDefault="00E81B3D" w:rsidP="00904912">
      <w:pPr>
        <w:spacing w:before="120" w:after="120"/>
        <w:ind w:left="1418"/>
        <w:jc w:val="left"/>
        <w:rPr>
          <w:rFonts w:cs="Arial"/>
          <w:b/>
          <w:sz w:val="18"/>
          <w:szCs w:val="18"/>
        </w:rPr>
      </w:pPr>
      <w:r>
        <w:rPr>
          <w:rFonts w:cs="Arial"/>
          <w:b/>
          <w:sz w:val="18"/>
          <w:szCs w:val="18"/>
        </w:rPr>
        <w:t>Tabla 5</w:t>
      </w:r>
      <w:r w:rsidRPr="00E1385B">
        <w:rPr>
          <w:rFonts w:cs="Arial"/>
          <w:b/>
          <w:sz w:val="18"/>
          <w:szCs w:val="18"/>
        </w:rPr>
        <w:t>.</w:t>
      </w:r>
      <w:r w:rsidRPr="0096030C">
        <w:t xml:space="preserve"> </w:t>
      </w:r>
      <w:r w:rsidRPr="0096030C">
        <w:rPr>
          <w:rFonts w:cs="Arial"/>
          <w:b/>
          <w:sz w:val="18"/>
          <w:szCs w:val="18"/>
        </w:rPr>
        <w:t xml:space="preserve">CLASIFICACIÓN COMPUESTA POR LOS RIESGOS RELATIVOS </w:t>
      </w:r>
      <w:r>
        <w:rPr>
          <w:rFonts w:cs="Arial"/>
          <w:b/>
          <w:sz w:val="18"/>
          <w:szCs w:val="18"/>
        </w:rPr>
        <w:t>SEGUN FG Y ALBUMINURIA</w:t>
      </w:r>
    </w:p>
    <w:tbl>
      <w:tblPr>
        <w:tblW w:w="89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1"/>
        <w:gridCol w:w="1133"/>
        <w:gridCol w:w="992"/>
        <w:gridCol w:w="992"/>
        <w:gridCol w:w="992"/>
        <w:gridCol w:w="992"/>
        <w:gridCol w:w="992"/>
        <w:gridCol w:w="992"/>
      </w:tblGrid>
      <w:tr w:rsidR="00E81B3D" w:rsidRPr="00A16E13" w:rsidTr="00B1318D">
        <w:trPr>
          <w:trHeight w:val="299"/>
        </w:trPr>
        <w:tc>
          <w:tcPr>
            <w:tcW w:w="3968" w:type="dxa"/>
            <w:gridSpan w:val="4"/>
            <w:vMerge w:val="restart"/>
            <w:tcBorders>
              <w:top w:val="nil"/>
              <w:left w:val="nil"/>
            </w:tcBorders>
            <w:vAlign w:val="center"/>
          </w:tcPr>
          <w:p w:rsidR="00E81B3D" w:rsidRPr="0096030C" w:rsidRDefault="00E81B3D" w:rsidP="00B1318D">
            <w:pPr>
              <w:jc w:val="center"/>
              <w:rPr>
                <w:sz w:val="18"/>
                <w:szCs w:val="18"/>
              </w:rPr>
            </w:pPr>
          </w:p>
        </w:tc>
        <w:tc>
          <w:tcPr>
            <w:tcW w:w="4960" w:type="dxa"/>
            <w:gridSpan w:val="5"/>
            <w:vAlign w:val="center"/>
          </w:tcPr>
          <w:p w:rsidR="00E81B3D" w:rsidRPr="0096030C" w:rsidRDefault="00E81B3D" w:rsidP="00B1318D">
            <w:pPr>
              <w:jc w:val="center"/>
              <w:rPr>
                <w:sz w:val="18"/>
                <w:szCs w:val="18"/>
              </w:rPr>
            </w:pPr>
            <w:r>
              <w:rPr>
                <w:sz w:val="18"/>
                <w:szCs w:val="18"/>
              </w:rPr>
              <w:t>Albuminuria Estadios, descripción e intervalo (mg/g)</w:t>
            </w:r>
          </w:p>
        </w:tc>
      </w:tr>
      <w:tr w:rsidR="00E81B3D" w:rsidRPr="00A16E13" w:rsidTr="00B1318D">
        <w:trPr>
          <w:trHeight w:val="299"/>
        </w:trPr>
        <w:tc>
          <w:tcPr>
            <w:tcW w:w="3968" w:type="dxa"/>
            <w:gridSpan w:val="4"/>
            <w:vMerge/>
            <w:tcBorders>
              <w:left w:val="nil"/>
            </w:tcBorders>
            <w:vAlign w:val="center"/>
          </w:tcPr>
          <w:p w:rsidR="00E81B3D" w:rsidRPr="0096030C" w:rsidRDefault="00E81B3D" w:rsidP="00B1318D">
            <w:pPr>
              <w:jc w:val="center"/>
              <w:rPr>
                <w:sz w:val="18"/>
                <w:szCs w:val="18"/>
              </w:rPr>
            </w:pPr>
          </w:p>
        </w:tc>
        <w:tc>
          <w:tcPr>
            <w:tcW w:w="1984" w:type="dxa"/>
            <w:gridSpan w:val="2"/>
            <w:vAlign w:val="center"/>
          </w:tcPr>
          <w:p w:rsidR="00E81B3D" w:rsidRPr="0096030C" w:rsidRDefault="00E81B3D" w:rsidP="00B1318D">
            <w:pPr>
              <w:jc w:val="center"/>
              <w:rPr>
                <w:sz w:val="18"/>
                <w:szCs w:val="18"/>
              </w:rPr>
            </w:pPr>
            <w:r>
              <w:rPr>
                <w:sz w:val="18"/>
                <w:szCs w:val="18"/>
              </w:rPr>
              <w:t>A1</w:t>
            </w:r>
          </w:p>
        </w:tc>
        <w:tc>
          <w:tcPr>
            <w:tcW w:w="992" w:type="dxa"/>
            <w:vAlign w:val="center"/>
          </w:tcPr>
          <w:p w:rsidR="00E81B3D" w:rsidRPr="0096030C" w:rsidRDefault="00E81B3D" w:rsidP="00B1318D">
            <w:pPr>
              <w:jc w:val="center"/>
              <w:rPr>
                <w:sz w:val="18"/>
                <w:szCs w:val="18"/>
              </w:rPr>
            </w:pPr>
            <w:r>
              <w:rPr>
                <w:sz w:val="18"/>
                <w:szCs w:val="18"/>
              </w:rPr>
              <w:t>A2</w:t>
            </w:r>
          </w:p>
        </w:tc>
        <w:tc>
          <w:tcPr>
            <w:tcW w:w="1984" w:type="dxa"/>
            <w:gridSpan w:val="2"/>
            <w:vAlign w:val="center"/>
          </w:tcPr>
          <w:p w:rsidR="00E81B3D" w:rsidRPr="0096030C" w:rsidRDefault="00E81B3D" w:rsidP="00B1318D">
            <w:pPr>
              <w:jc w:val="center"/>
              <w:rPr>
                <w:sz w:val="18"/>
                <w:szCs w:val="18"/>
              </w:rPr>
            </w:pPr>
            <w:r>
              <w:rPr>
                <w:sz w:val="18"/>
                <w:szCs w:val="18"/>
              </w:rPr>
              <w:t>A3</w:t>
            </w:r>
          </w:p>
        </w:tc>
      </w:tr>
      <w:tr w:rsidR="00E81B3D" w:rsidRPr="00A16E13" w:rsidTr="00B1318D">
        <w:trPr>
          <w:trHeight w:val="299"/>
        </w:trPr>
        <w:tc>
          <w:tcPr>
            <w:tcW w:w="3968" w:type="dxa"/>
            <w:gridSpan w:val="4"/>
            <w:vMerge/>
            <w:tcBorders>
              <w:left w:val="nil"/>
            </w:tcBorders>
            <w:vAlign w:val="center"/>
          </w:tcPr>
          <w:p w:rsidR="00E81B3D" w:rsidRPr="0096030C" w:rsidRDefault="00E81B3D" w:rsidP="00B1318D">
            <w:pPr>
              <w:jc w:val="center"/>
              <w:rPr>
                <w:sz w:val="18"/>
                <w:szCs w:val="18"/>
              </w:rPr>
            </w:pPr>
          </w:p>
        </w:tc>
        <w:tc>
          <w:tcPr>
            <w:tcW w:w="1984" w:type="dxa"/>
            <w:gridSpan w:val="2"/>
            <w:vAlign w:val="center"/>
          </w:tcPr>
          <w:p w:rsidR="00E81B3D" w:rsidRPr="0096030C" w:rsidRDefault="00E81B3D" w:rsidP="00B1318D">
            <w:pPr>
              <w:jc w:val="center"/>
              <w:rPr>
                <w:sz w:val="18"/>
                <w:szCs w:val="18"/>
              </w:rPr>
            </w:pPr>
            <w:r>
              <w:rPr>
                <w:sz w:val="18"/>
                <w:szCs w:val="18"/>
              </w:rPr>
              <w:t>Óptimo y alto-normal</w:t>
            </w:r>
          </w:p>
        </w:tc>
        <w:tc>
          <w:tcPr>
            <w:tcW w:w="992" w:type="dxa"/>
            <w:vAlign w:val="center"/>
          </w:tcPr>
          <w:p w:rsidR="00E81B3D" w:rsidRPr="0096030C" w:rsidRDefault="00E81B3D" w:rsidP="00B1318D">
            <w:pPr>
              <w:jc w:val="center"/>
              <w:rPr>
                <w:sz w:val="18"/>
                <w:szCs w:val="18"/>
              </w:rPr>
            </w:pPr>
            <w:r>
              <w:rPr>
                <w:sz w:val="18"/>
                <w:szCs w:val="18"/>
              </w:rPr>
              <w:t>Alto</w:t>
            </w:r>
          </w:p>
        </w:tc>
        <w:tc>
          <w:tcPr>
            <w:tcW w:w="1984" w:type="dxa"/>
            <w:gridSpan w:val="2"/>
            <w:vAlign w:val="center"/>
          </w:tcPr>
          <w:p w:rsidR="00E81B3D" w:rsidRPr="0096030C" w:rsidRDefault="00E81B3D" w:rsidP="00B1318D">
            <w:pPr>
              <w:jc w:val="center"/>
              <w:rPr>
                <w:sz w:val="18"/>
                <w:szCs w:val="18"/>
              </w:rPr>
            </w:pPr>
            <w:r>
              <w:rPr>
                <w:sz w:val="18"/>
                <w:szCs w:val="18"/>
              </w:rPr>
              <w:t>Muy alto y nefrótico</w:t>
            </w:r>
          </w:p>
        </w:tc>
      </w:tr>
      <w:tr w:rsidR="00E81B3D" w:rsidRPr="00A16E13" w:rsidTr="00B1318D">
        <w:trPr>
          <w:trHeight w:val="299"/>
        </w:trPr>
        <w:tc>
          <w:tcPr>
            <w:tcW w:w="3968" w:type="dxa"/>
            <w:gridSpan w:val="4"/>
            <w:vMerge/>
            <w:tcBorders>
              <w:left w:val="nil"/>
            </w:tcBorders>
            <w:vAlign w:val="center"/>
          </w:tcPr>
          <w:p w:rsidR="00E81B3D" w:rsidRPr="0096030C" w:rsidRDefault="00E81B3D" w:rsidP="00B1318D">
            <w:pPr>
              <w:jc w:val="center"/>
              <w:rPr>
                <w:sz w:val="18"/>
                <w:szCs w:val="18"/>
              </w:rPr>
            </w:pPr>
          </w:p>
        </w:tc>
        <w:tc>
          <w:tcPr>
            <w:tcW w:w="992" w:type="dxa"/>
            <w:vAlign w:val="center"/>
          </w:tcPr>
          <w:p w:rsidR="00E81B3D" w:rsidRPr="0096030C" w:rsidRDefault="00E81B3D" w:rsidP="00B1318D">
            <w:pPr>
              <w:jc w:val="center"/>
              <w:rPr>
                <w:sz w:val="18"/>
                <w:szCs w:val="18"/>
              </w:rPr>
            </w:pPr>
            <w:r>
              <w:rPr>
                <w:sz w:val="18"/>
                <w:szCs w:val="18"/>
              </w:rPr>
              <w:t>&lt;10</w:t>
            </w:r>
          </w:p>
        </w:tc>
        <w:tc>
          <w:tcPr>
            <w:tcW w:w="992" w:type="dxa"/>
            <w:vAlign w:val="center"/>
          </w:tcPr>
          <w:p w:rsidR="00E81B3D" w:rsidRPr="0096030C" w:rsidRDefault="00E81B3D" w:rsidP="00B1318D">
            <w:pPr>
              <w:jc w:val="center"/>
              <w:rPr>
                <w:sz w:val="18"/>
                <w:szCs w:val="18"/>
              </w:rPr>
            </w:pPr>
            <w:r>
              <w:rPr>
                <w:sz w:val="18"/>
                <w:szCs w:val="18"/>
              </w:rPr>
              <w:t>10-29</w:t>
            </w:r>
          </w:p>
        </w:tc>
        <w:tc>
          <w:tcPr>
            <w:tcW w:w="992" w:type="dxa"/>
            <w:vAlign w:val="center"/>
          </w:tcPr>
          <w:p w:rsidR="00E81B3D" w:rsidRPr="0096030C" w:rsidRDefault="00E81B3D" w:rsidP="00B1318D">
            <w:pPr>
              <w:jc w:val="center"/>
              <w:rPr>
                <w:sz w:val="18"/>
                <w:szCs w:val="18"/>
              </w:rPr>
            </w:pPr>
            <w:r>
              <w:rPr>
                <w:sz w:val="18"/>
                <w:szCs w:val="18"/>
              </w:rPr>
              <w:t>30-299</w:t>
            </w:r>
          </w:p>
        </w:tc>
        <w:tc>
          <w:tcPr>
            <w:tcW w:w="992" w:type="dxa"/>
            <w:vAlign w:val="center"/>
          </w:tcPr>
          <w:p w:rsidR="00E81B3D" w:rsidRPr="0096030C" w:rsidRDefault="00E81B3D" w:rsidP="00B1318D">
            <w:pPr>
              <w:jc w:val="center"/>
              <w:rPr>
                <w:sz w:val="18"/>
                <w:szCs w:val="18"/>
              </w:rPr>
            </w:pPr>
            <w:r>
              <w:rPr>
                <w:sz w:val="18"/>
                <w:szCs w:val="18"/>
              </w:rPr>
              <w:t>300-1999</w:t>
            </w:r>
          </w:p>
        </w:tc>
        <w:tc>
          <w:tcPr>
            <w:tcW w:w="992" w:type="dxa"/>
            <w:vAlign w:val="center"/>
          </w:tcPr>
          <w:p w:rsidR="00E81B3D" w:rsidRPr="0096030C" w:rsidRDefault="00E81B3D" w:rsidP="00B1318D">
            <w:pPr>
              <w:jc w:val="center"/>
              <w:rPr>
                <w:sz w:val="18"/>
                <w:szCs w:val="18"/>
              </w:rPr>
            </w:pPr>
            <w:r>
              <w:rPr>
                <w:rFonts w:cs="Arial"/>
                <w:sz w:val="18"/>
                <w:szCs w:val="18"/>
              </w:rPr>
              <w:t>≥</w:t>
            </w:r>
            <w:r>
              <w:rPr>
                <w:sz w:val="18"/>
                <w:szCs w:val="18"/>
              </w:rPr>
              <w:t>2000</w:t>
            </w:r>
          </w:p>
        </w:tc>
      </w:tr>
      <w:tr w:rsidR="00E81B3D" w:rsidRPr="00A16E13" w:rsidTr="00B1318D">
        <w:trPr>
          <w:trHeight w:val="299"/>
        </w:trPr>
        <w:tc>
          <w:tcPr>
            <w:tcW w:w="992" w:type="dxa"/>
            <w:vMerge w:val="restart"/>
            <w:vAlign w:val="center"/>
          </w:tcPr>
          <w:p w:rsidR="00E81B3D" w:rsidRDefault="00E81B3D" w:rsidP="00B1318D">
            <w:pPr>
              <w:jc w:val="center"/>
              <w:rPr>
                <w:sz w:val="18"/>
                <w:szCs w:val="18"/>
              </w:rPr>
            </w:pPr>
            <w:r>
              <w:rPr>
                <w:sz w:val="18"/>
                <w:szCs w:val="18"/>
              </w:rPr>
              <w:t>FG</w:t>
            </w:r>
          </w:p>
          <w:p w:rsidR="00E81B3D" w:rsidRPr="00192525" w:rsidRDefault="00E81B3D" w:rsidP="00B1318D">
            <w:pPr>
              <w:jc w:val="center"/>
              <w:rPr>
                <w:sz w:val="18"/>
                <w:szCs w:val="18"/>
              </w:rPr>
            </w:pPr>
            <w:r>
              <w:rPr>
                <w:sz w:val="18"/>
                <w:szCs w:val="18"/>
              </w:rPr>
              <w:t>Estadios, (mL/min/1.73m</w:t>
            </w:r>
            <w:r w:rsidRPr="00192525">
              <w:rPr>
                <w:sz w:val="18"/>
                <w:szCs w:val="18"/>
                <w:vertAlign w:val="superscript"/>
              </w:rPr>
              <w:t>2</w:t>
            </w:r>
            <w:r>
              <w:rPr>
                <w:sz w:val="18"/>
                <w:szCs w:val="18"/>
              </w:rPr>
              <w:t>)</w:t>
            </w:r>
          </w:p>
        </w:tc>
        <w:tc>
          <w:tcPr>
            <w:tcW w:w="851" w:type="dxa"/>
            <w:vMerge w:val="restart"/>
            <w:vAlign w:val="center"/>
          </w:tcPr>
          <w:p w:rsidR="00E81B3D" w:rsidRPr="0096030C" w:rsidRDefault="00E81B3D" w:rsidP="00B1318D">
            <w:pPr>
              <w:jc w:val="center"/>
              <w:rPr>
                <w:sz w:val="18"/>
                <w:szCs w:val="18"/>
              </w:rPr>
            </w:pPr>
            <w:r>
              <w:rPr>
                <w:sz w:val="18"/>
                <w:szCs w:val="18"/>
              </w:rPr>
              <w:t>G1</w:t>
            </w:r>
          </w:p>
        </w:tc>
        <w:tc>
          <w:tcPr>
            <w:tcW w:w="1133" w:type="dxa"/>
            <w:vMerge w:val="restart"/>
            <w:vAlign w:val="center"/>
          </w:tcPr>
          <w:p w:rsidR="00E81B3D" w:rsidRPr="00152CC5" w:rsidRDefault="00E81B3D" w:rsidP="00B1318D">
            <w:pPr>
              <w:jc w:val="center"/>
              <w:rPr>
                <w:sz w:val="18"/>
                <w:szCs w:val="18"/>
              </w:rPr>
            </w:pPr>
            <w:r w:rsidRPr="00152CC5">
              <w:rPr>
                <w:sz w:val="18"/>
                <w:szCs w:val="18"/>
              </w:rPr>
              <w:t>Alto y óptimo</w:t>
            </w:r>
          </w:p>
        </w:tc>
        <w:tc>
          <w:tcPr>
            <w:tcW w:w="992" w:type="dxa"/>
            <w:vAlign w:val="center"/>
          </w:tcPr>
          <w:p w:rsidR="00E81B3D" w:rsidRPr="0096030C" w:rsidRDefault="00E81B3D" w:rsidP="00B1318D">
            <w:pPr>
              <w:jc w:val="center"/>
              <w:rPr>
                <w:sz w:val="18"/>
                <w:szCs w:val="18"/>
              </w:rPr>
            </w:pPr>
            <w:r>
              <w:rPr>
                <w:sz w:val="18"/>
                <w:szCs w:val="18"/>
              </w:rPr>
              <w:t>&gt;105</w:t>
            </w: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Merge/>
            <w:vAlign w:val="center"/>
          </w:tcPr>
          <w:p w:rsidR="00E81B3D" w:rsidRPr="0096030C" w:rsidRDefault="00E81B3D" w:rsidP="00B1318D">
            <w:pPr>
              <w:jc w:val="center"/>
              <w:rPr>
                <w:sz w:val="18"/>
                <w:szCs w:val="18"/>
              </w:rPr>
            </w:pPr>
          </w:p>
        </w:tc>
        <w:tc>
          <w:tcPr>
            <w:tcW w:w="1133" w:type="dxa"/>
            <w:vMerge/>
            <w:vAlign w:val="center"/>
          </w:tcPr>
          <w:p w:rsidR="00E81B3D" w:rsidRPr="00152CC5" w:rsidRDefault="00E81B3D" w:rsidP="00B1318D">
            <w:pPr>
              <w:jc w:val="center"/>
              <w:rPr>
                <w:sz w:val="18"/>
                <w:szCs w:val="18"/>
              </w:rPr>
            </w:pPr>
          </w:p>
        </w:tc>
        <w:tc>
          <w:tcPr>
            <w:tcW w:w="992" w:type="dxa"/>
            <w:vAlign w:val="center"/>
          </w:tcPr>
          <w:p w:rsidR="00E81B3D" w:rsidRPr="0096030C" w:rsidRDefault="00E81B3D" w:rsidP="00B1318D">
            <w:pPr>
              <w:jc w:val="center"/>
              <w:rPr>
                <w:sz w:val="18"/>
                <w:szCs w:val="18"/>
              </w:rPr>
            </w:pPr>
            <w:r>
              <w:rPr>
                <w:sz w:val="18"/>
                <w:szCs w:val="18"/>
              </w:rPr>
              <w:t>90-104</w:t>
            </w: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Merge w:val="restart"/>
            <w:vAlign w:val="center"/>
          </w:tcPr>
          <w:p w:rsidR="00E81B3D" w:rsidRPr="0096030C" w:rsidRDefault="00E81B3D" w:rsidP="00B1318D">
            <w:pPr>
              <w:jc w:val="center"/>
              <w:rPr>
                <w:sz w:val="18"/>
                <w:szCs w:val="18"/>
              </w:rPr>
            </w:pPr>
            <w:r>
              <w:rPr>
                <w:sz w:val="18"/>
                <w:szCs w:val="18"/>
              </w:rPr>
              <w:t>G2</w:t>
            </w:r>
          </w:p>
        </w:tc>
        <w:tc>
          <w:tcPr>
            <w:tcW w:w="1133" w:type="dxa"/>
            <w:vMerge w:val="restart"/>
            <w:vAlign w:val="center"/>
          </w:tcPr>
          <w:p w:rsidR="00E81B3D" w:rsidRPr="00152CC5" w:rsidRDefault="00E81B3D" w:rsidP="00B1318D">
            <w:pPr>
              <w:jc w:val="center"/>
              <w:rPr>
                <w:sz w:val="18"/>
                <w:szCs w:val="18"/>
              </w:rPr>
            </w:pPr>
            <w:r w:rsidRPr="00152CC5">
              <w:rPr>
                <w:sz w:val="18"/>
                <w:szCs w:val="18"/>
              </w:rPr>
              <w:t>Leve</w:t>
            </w:r>
          </w:p>
        </w:tc>
        <w:tc>
          <w:tcPr>
            <w:tcW w:w="992" w:type="dxa"/>
            <w:vAlign w:val="center"/>
          </w:tcPr>
          <w:p w:rsidR="00E81B3D" w:rsidRPr="0096030C" w:rsidRDefault="00E81B3D" w:rsidP="00B1318D">
            <w:pPr>
              <w:jc w:val="center"/>
              <w:rPr>
                <w:sz w:val="18"/>
                <w:szCs w:val="18"/>
              </w:rPr>
            </w:pPr>
            <w:r>
              <w:rPr>
                <w:sz w:val="18"/>
                <w:szCs w:val="18"/>
              </w:rPr>
              <w:t>75-89</w:t>
            </w: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Merge/>
            <w:vAlign w:val="center"/>
          </w:tcPr>
          <w:p w:rsidR="00E81B3D" w:rsidRPr="0096030C" w:rsidRDefault="00E81B3D" w:rsidP="00B1318D">
            <w:pPr>
              <w:jc w:val="center"/>
              <w:rPr>
                <w:sz w:val="18"/>
                <w:szCs w:val="18"/>
              </w:rPr>
            </w:pPr>
          </w:p>
        </w:tc>
        <w:tc>
          <w:tcPr>
            <w:tcW w:w="1133" w:type="dxa"/>
            <w:vMerge/>
            <w:vAlign w:val="center"/>
          </w:tcPr>
          <w:p w:rsidR="00E81B3D" w:rsidRPr="00152CC5" w:rsidRDefault="00E81B3D" w:rsidP="00B1318D">
            <w:pPr>
              <w:jc w:val="center"/>
              <w:rPr>
                <w:sz w:val="18"/>
                <w:szCs w:val="18"/>
              </w:rPr>
            </w:pPr>
          </w:p>
        </w:tc>
        <w:tc>
          <w:tcPr>
            <w:tcW w:w="992" w:type="dxa"/>
            <w:vAlign w:val="center"/>
          </w:tcPr>
          <w:p w:rsidR="00E81B3D" w:rsidRPr="0096030C" w:rsidRDefault="00E81B3D" w:rsidP="00B1318D">
            <w:pPr>
              <w:jc w:val="center"/>
              <w:rPr>
                <w:sz w:val="18"/>
                <w:szCs w:val="18"/>
              </w:rPr>
            </w:pPr>
            <w:r>
              <w:rPr>
                <w:sz w:val="18"/>
                <w:szCs w:val="18"/>
              </w:rPr>
              <w:t>60-74</w:t>
            </w: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00B050"/>
            <w:vAlign w:val="center"/>
          </w:tcPr>
          <w:p w:rsidR="00E81B3D" w:rsidRPr="0096030C" w:rsidRDefault="00E81B3D" w:rsidP="00B1318D">
            <w:pPr>
              <w:jc w:val="center"/>
              <w:rPr>
                <w:sz w:val="18"/>
                <w:szCs w:val="18"/>
              </w:rPr>
            </w:pP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Align w:val="center"/>
          </w:tcPr>
          <w:p w:rsidR="00E81B3D" w:rsidRPr="0096030C" w:rsidRDefault="00E81B3D" w:rsidP="00B1318D">
            <w:pPr>
              <w:jc w:val="center"/>
              <w:rPr>
                <w:sz w:val="18"/>
                <w:szCs w:val="18"/>
              </w:rPr>
            </w:pPr>
            <w:r>
              <w:rPr>
                <w:sz w:val="18"/>
                <w:szCs w:val="18"/>
              </w:rPr>
              <w:t>G3a</w:t>
            </w:r>
          </w:p>
        </w:tc>
        <w:tc>
          <w:tcPr>
            <w:tcW w:w="1133" w:type="dxa"/>
            <w:vAlign w:val="center"/>
          </w:tcPr>
          <w:p w:rsidR="00E81B3D" w:rsidRPr="00152CC5" w:rsidRDefault="00E81B3D" w:rsidP="00B1318D">
            <w:pPr>
              <w:jc w:val="center"/>
              <w:rPr>
                <w:sz w:val="18"/>
                <w:szCs w:val="18"/>
              </w:rPr>
            </w:pPr>
            <w:r w:rsidRPr="00152CC5">
              <w:rPr>
                <w:sz w:val="18"/>
                <w:szCs w:val="18"/>
              </w:rPr>
              <w:t>Leve-moderado</w:t>
            </w:r>
          </w:p>
        </w:tc>
        <w:tc>
          <w:tcPr>
            <w:tcW w:w="992" w:type="dxa"/>
            <w:vAlign w:val="center"/>
          </w:tcPr>
          <w:p w:rsidR="00E81B3D" w:rsidRPr="0096030C" w:rsidRDefault="00E81B3D" w:rsidP="00B1318D">
            <w:pPr>
              <w:jc w:val="center"/>
              <w:rPr>
                <w:sz w:val="18"/>
                <w:szCs w:val="18"/>
              </w:rPr>
            </w:pPr>
            <w:r>
              <w:rPr>
                <w:sz w:val="18"/>
                <w:szCs w:val="18"/>
              </w:rPr>
              <w:t>45-59</w:t>
            </w: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FF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Align w:val="center"/>
          </w:tcPr>
          <w:p w:rsidR="00E81B3D" w:rsidRPr="0096030C" w:rsidRDefault="00E81B3D" w:rsidP="00B1318D">
            <w:pPr>
              <w:jc w:val="center"/>
              <w:rPr>
                <w:sz w:val="18"/>
                <w:szCs w:val="18"/>
              </w:rPr>
            </w:pPr>
            <w:r>
              <w:rPr>
                <w:sz w:val="18"/>
                <w:szCs w:val="18"/>
              </w:rPr>
              <w:t>G3b</w:t>
            </w:r>
          </w:p>
        </w:tc>
        <w:tc>
          <w:tcPr>
            <w:tcW w:w="1133" w:type="dxa"/>
            <w:vAlign w:val="center"/>
          </w:tcPr>
          <w:p w:rsidR="00E81B3D" w:rsidRPr="00152CC5" w:rsidRDefault="00E81B3D" w:rsidP="00B1318D">
            <w:pPr>
              <w:jc w:val="center"/>
              <w:rPr>
                <w:sz w:val="18"/>
                <w:szCs w:val="18"/>
              </w:rPr>
            </w:pPr>
            <w:r w:rsidRPr="00152CC5">
              <w:rPr>
                <w:sz w:val="18"/>
                <w:szCs w:val="18"/>
              </w:rPr>
              <w:t>Moderado-Grave</w:t>
            </w:r>
          </w:p>
        </w:tc>
        <w:tc>
          <w:tcPr>
            <w:tcW w:w="992" w:type="dxa"/>
            <w:vAlign w:val="center"/>
          </w:tcPr>
          <w:p w:rsidR="00E81B3D" w:rsidRPr="0096030C" w:rsidRDefault="00E81B3D" w:rsidP="00B1318D">
            <w:pPr>
              <w:jc w:val="center"/>
              <w:rPr>
                <w:sz w:val="18"/>
                <w:szCs w:val="18"/>
              </w:rPr>
            </w:pPr>
            <w:r>
              <w:rPr>
                <w:sz w:val="18"/>
                <w:szCs w:val="18"/>
              </w:rPr>
              <w:t>30-44</w:t>
            </w:r>
          </w:p>
        </w:tc>
        <w:tc>
          <w:tcPr>
            <w:tcW w:w="992" w:type="dxa"/>
            <w:shd w:val="clear" w:color="auto" w:fill="FFC000"/>
            <w:vAlign w:val="center"/>
          </w:tcPr>
          <w:p w:rsidR="00E81B3D" w:rsidRPr="0096030C" w:rsidRDefault="00E81B3D" w:rsidP="00B1318D">
            <w:pPr>
              <w:jc w:val="center"/>
              <w:rPr>
                <w:sz w:val="18"/>
                <w:szCs w:val="18"/>
              </w:rPr>
            </w:pPr>
          </w:p>
        </w:tc>
        <w:tc>
          <w:tcPr>
            <w:tcW w:w="992" w:type="dxa"/>
            <w:shd w:val="clear" w:color="auto" w:fill="FFC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Align w:val="center"/>
          </w:tcPr>
          <w:p w:rsidR="00E81B3D" w:rsidRPr="0096030C" w:rsidRDefault="00E81B3D" w:rsidP="00B1318D">
            <w:pPr>
              <w:jc w:val="center"/>
              <w:rPr>
                <w:sz w:val="18"/>
                <w:szCs w:val="18"/>
              </w:rPr>
            </w:pPr>
            <w:r>
              <w:rPr>
                <w:sz w:val="18"/>
                <w:szCs w:val="18"/>
              </w:rPr>
              <w:t>G4</w:t>
            </w:r>
          </w:p>
        </w:tc>
        <w:tc>
          <w:tcPr>
            <w:tcW w:w="1133" w:type="dxa"/>
            <w:vAlign w:val="center"/>
          </w:tcPr>
          <w:p w:rsidR="00E81B3D" w:rsidRPr="00152CC5" w:rsidRDefault="00E81B3D" w:rsidP="00B1318D">
            <w:pPr>
              <w:jc w:val="center"/>
              <w:rPr>
                <w:sz w:val="18"/>
                <w:szCs w:val="18"/>
              </w:rPr>
            </w:pPr>
            <w:r w:rsidRPr="00152CC5">
              <w:rPr>
                <w:sz w:val="18"/>
                <w:szCs w:val="18"/>
              </w:rPr>
              <w:t>Grave</w:t>
            </w:r>
          </w:p>
        </w:tc>
        <w:tc>
          <w:tcPr>
            <w:tcW w:w="992" w:type="dxa"/>
            <w:vAlign w:val="center"/>
          </w:tcPr>
          <w:p w:rsidR="00E81B3D" w:rsidRPr="0096030C" w:rsidRDefault="00E81B3D" w:rsidP="00B1318D">
            <w:pPr>
              <w:jc w:val="center"/>
              <w:rPr>
                <w:sz w:val="18"/>
                <w:szCs w:val="18"/>
              </w:rPr>
            </w:pPr>
            <w:r>
              <w:rPr>
                <w:sz w:val="18"/>
                <w:szCs w:val="18"/>
              </w:rPr>
              <w:t>15-29</w:t>
            </w:r>
          </w:p>
        </w:tc>
        <w:tc>
          <w:tcPr>
            <w:tcW w:w="992" w:type="dxa"/>
            <w:shd w:val="clear" w:color="auto" w:fill="FF0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clear"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r w:rsidR="00E81B3D" w:rsidRPr="00A16E13" w:rsidTr="00B1318D">
        <w:trPr>
          <w:trHeight w:val="299"/>
        </w:trPr>
        <w:tc>
          <w:tcPr>
            <w:tcW w:w="992" w:type="dxa"/>
            <w:vMerge/>
            <w:vAlign w:val="center"/>
          </w:tcPr>
          <w:p w:rsidR="00E81B3D" w:rsidRPr="0096030C" w:rsidRDefault="00E81B3D" w:rsidP="00B1318D">
            <w:pPr>
              <w:jc w:val="center"/>
              <w:rPr>
                <w:sz w:val="18"/>
                <w:szCs w:val="18"/>
              </w:rPr>
            </w:pPr>
          </w:p>
        </w:tc>
        <w:tc>
          <w:tcPr>
            <w:tcW w:w="851" w:type="dxa"/>
            <w:vAlign w:val="center"/>
          </w:tcPr>
          <w:p w:rsidR="00E81B3D" w:rsidRPr="0096030C" w:rsidRDefault="00E81B3D" w:rsidP="00B1318D">
            <w:pPr>
              <w:jc w:val="center"/>
              <w:rPr>
                <w:sz w:val="18"/>
                <w:szCs w:val="18"/>
              </w:rPr>
            </w:pPr>
            <w:r>
              <w:rPr>
                <w:sz w:val="18"/>
                <w:szCs w:val="18"/>
              </w:rPr>
              <w:t>G5</w:t>
            </w:r>
          </w:p>
        </w:tc>
        <w:tc>
          <w:tcPr>
            <w:tcW w:w="1133" w:type="dxa"/>
            <w:vAlign w:val="center"/>
          </w:tcPr>
          <w:p w:rsidR="00E81B3D" w:rsidRPr="00152CC5" w:rsidRDefault="00E81B3D" w:rsidP="00B1318D">
            <w:pPr>
              <w:jc w:val="center"/>
              <w:rPr>
                <w:sz w:val="18"/>
                <w:szCs w:val="18"/>
              </w:rPr>
            </w:pPr>
            <w:r w:rsidRPr="00152CC5">
              <w:rPr>
                <w:sz w:val="18"/>
                <w:szCs w:val="18"/>
              </w:rPr>
              <w:t>Fallo renal</w:t>
            </w:r>
          </w:p>
        </w:tc>
        <w:tc>
          <w:tcPr>
            <w:tcW w:w="992" w:type="dxa"/>
            <w:vAlign w:val="center"/>
          </w:tcPr>
          <w:p w:rsidR="00E81B3D" w:rsidRPr="0096030C" w:rsidRDefault="00E81B3D" w:rsidP="00B1318D">
            <w:pPr>
              <w:jc w:val="center"/>
              <w:rPr>
                <w:sz w:val="18"/>
                <w:szCs w:val="18"/>
              </w:rPr>
            </w:pPr>
            <w:r>
              <w:rPr>
                <w:sz w:val="18"/>
                <w:szCs w:val="18"/>
              </w:rPr>
              <w:t>&lt;15</w:t>
            </w:r>
          </w:p>
        </w:tc>
        <w:tc>
          <w:tcPr>
            <w:tcW w:w="992" w:type="dxa"/>
            <w:shd w:val="diagStripe"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c>
          <w:tcPr>
            <w:tcW w:w="992" w:type="dxa"/>
            <w:shd w:val="diagStripe" w:color="auto" w:fill="FF0000"/>
            <w:vAlign w:val="center"/>
          </w:tcPr>
          <w:p w:rsidR="00E81B3D" w:rsidRPr="0096030C" w:rsidRDefault="00E81B3D" w:rsidP="00B1318D">
            <w:pPr>
              <w:jc w:val="center"/>
              <w:rPr>
                <w:sz w:val="18"/>
                <w:szCs w:val="18"/>
              </w:rPr>
            </w:pPr>
          </w:p>
        </w:tc>
      </w:tr>
    </w:tbl>
    <w:p w:rsidR="00E81B3D" w:rsidRDefault="00E81B3D" w:rsidP="007E30EB">
      <w:pPr>
        <w:spacing w:before="120" w:after="120"/>
        <w:ind w:left="1418"/>
        <w:rPr>
          <w:sz w:val="16"/>
          <w:szCs w:val="16"/>
        </w:rPr>
      </w:pPr>
      <w:r w:rsidRPr="0049306A">
        <w:rPr>
          <w:sz w:val="16"/>
          <w:szCs w:val="16"/>
        </w:rPr>
        <w:t xml:space="preserve">Nota: Los colores </w:t>
      </w:r>
      <w:r w:rsidRPr="006807B1">
        <w:rPr>
          <w:sz w:val="16"/>
          <w:szCs w:val="16"/>
        </w:rPr>
        <w:t>mostrarían</w:t>
      </w:r>
      <w:r w:rsidRPr="0049306A">
        <w:rPr>
          <w:sz w:val="16"/>
          <w:szCs w:val="16"/>
        </w:rPr>
        <w:t xml:space="preserve"> el riesgo relativo ajustado para cinco eventos (mortalidad global, mortalidad cardiovascular, fracaso renal tratado con diálisis o trasplante, fracaso renal agudo y progresión de la enfermedad renal) a partir de un metanálisis de cohortes de población general</w:t>
      </w:r>
      <w:fldSimple w:instr=" NOTEREF _Ref343104596 \f  \* MERGEFORMAT ">
        <w:r w:rsidR="00852CBE" w:rsidRPr="00852CBE">
          <w:rPr>
            <w:rStyle w:val="Refdenotaalfinal"/>
            <w:sz w:val="16"/>
          </w:rPr>
          <w:t>2</w:t>
        </w:r>
      </w:fldSimple>
      <w:r w:rsidRPr="0049306A">
        <w:rPr>
          <w:sz w:val="16"/>
          <w:szCs w:val="16"/>
        </w:rPr>
        <w:t xml:space="preserve">. El riesgo menor corresponde al color verde (categoría “bajo riesgo”, si no hay datos de lesión renal no se puede catalogar como ERC), seguido del color amarillo (riesgo “moderadamente aumentado”), naranja (“alto riesgo”), rojo y rojo oscuro (“muy alto riesgo”), que expresan riesgos crecientes para los eventos mencionados. Las unidades de albuminuria representados en la gráfica corresponden a mg/g y son aproximadamente 10 veces los niveles expresados en mg/mmol (A1 = A/CR &lt; 3 mg/mmol, A2 = A/CR 3-30 mg/mmol, A3= A/CR </w:t>
      </w:r>
      <w:r w:rsidRPr="0049306A">
        <w:rPr>
          <w:rFonts w:cs="Arial"/>
          <w:sz w:val="16"/>
          <w:szCs w:val="16"/>
        </w:rPr>
        <w:t>≥</w:t>
      </w:r>
      <w:r w:rsidRPr="0049306A">
        <w:rPr>
          <w:sz w:val="16"/>
          <w:szCs w:val="16"/>
        </w:rPr>
        <w:t xml:space="preserve"> 30 mg/mmol).</w:t>
      </w:r>
    </w:p>
    <w:p w:rsidR="00E81B3D" w:rsidRPr="0049306A" w:rsidRDefault="00E81B3D" w:rsidP="007E30EB">
      <w:pPr>
        <w:spacing w:before="120" w:after="120"/>
        <w:ind w:left="1418"/>
        <w:rPr>
          <w:sz w:val="16"/>
          <w:szCs w:val="16"/>
        </w:rPr>
      </w:pPr>
    </w:p>
    <w:p w:rsidR="00E81B3D" w:rsidRPr="0049306A" w:rsidRDefault="00E81B3D" w:rsidP="007E30EB">
      <w:pPr>
        <w:numPr>
          <w:ilvl w:val="0"/>
          <w:numId w:val="8"/>
        </w:numPr>
        <w:spacing w:before="120" w:after="120"/>
        <w:rPr>
          <w:rFonts w:cs="Arial"/>
          <w:sz w:val="20"/>
          <w:szCs w:val="20"/>
        </w:rPr>
      </w:pPr>
      <w:r w:rsidRPr="0049306A">
        <w:rPr>
          <w:rFonts w:cs="Arial"/>
          <w:sz w:val="20"/>
          <w:szCs w:val="20"/>
        </w:rPr>
        <w:lastRenderedPageBreak/>
        <w:t xml:space="preserve">Como puede apreciarse, los estadios según el FG se denominan ahora G1 a G5 y se confirma la división del </w:t>
      </w:r>
      <w:r w:rsidRPr="006807B1">
        <w:rPr>
          <w:rFonts w:cs="Arial"/>
          <w:sz w:val="20"/>
          <w:szCs w:val="20"/>
        </w:rPr>
        <w:t>estadio</w:t>
      </w:r>
      <w:r w:rsidRPr="0049306A">
        <w:rPr>
          <w:rFonts w:cs="Arial"/>
          <w:sz w:val="20"/>
          <w:szCs w:val="20"/>
        </w:rPr>
        <w:t xml:space="preserve"> 3 en dos subgrupos: G3a y G3b, división también útil para determinar la prioridad de la derivación y las diferencias de riesgo.</w:t>
      </w:r>
    </w:p>
    <w:p w:rsidR="00E81B3D" w:rsidRPr="0049306A" w:rsidRDefault="00E81B3D" w:rsidP="007E30EB">
      <w:pPr>
        <w:numPr>
          <w:ilvl w:val="0"/>
          <w:numId w:val="8"/>
        </w:numPr>
        <w:spacing w:before="120" w:after="120"/>
        <w:rPr>
          <w:rFonts w:cs="Arial"/>
          <w:sz w:val="20"/>
          <w:szCs w:val="20"/>
        </w:rPr>
      </w:pPr>
      <w:r w:rsidRPr="0049306A">
        <w:rPr>
          <w:rFonts w:cs="Arial"/>
          <w:sz w:val="20"/>
          <w:szCs w:val="20"/>
        </w:rPr>
        <w:t>Para las categorías con FG &gt; 15</w:t>
      </w:r>
      <w:r>
        <w:rPr>
          <w:rFonts w:cs="Arial"/>
          <w:sz w:val="20"/>
          <w:szCs w:val="20"/>
        </w:rPr>
        <w:t xml:space="preserve"> ml/min/1,73m2</w:t>
      </w:r>
      <w:r w:rsidRPr="0049306A">
        <w:rPr>
          <w:rFonts w:cs="Arial"/>
          <w:sz w:val="20"/>
          <w:szCs w:val="20"/>
        </w:rPr>
        <w:t xml:space="preserve"> y albuminuria &lt; 2000</w:t>
      </w:r>
      <w:r>
        <w:rPr>
          <w:rFonts w:cs="Arial"/>
          <w:sz w:val="20"/>
          <w:szCs w:val="20"/>
        </w:rPr>
        <w:t xml:space="preserve"> mg/g</w:t>
      </w:r>
      <w:r w:rsidRPr="0049306A">
        <w:rPr>
          <w:rFonts w:cs="Arial"/>
          <w:sz w:val="20"/>
          <w:szCs w:val="20"/>
        </w:rPr>
        <w:t xml:space="preserve"> se establecieron rangos de riesgo (1-8 verde, 9-14 rosa, 15-21 naranja, 22-28 rojo). Para</w:t>
      </w:r>
      <w:r w:rsidRPr="009E2C96">
        <w:rPr>
          <w:rFonts w:cs="Arial"/>
          <w:sz w:val="20"/>
          <w:szCs w:val="20"/>
        </w:rPr>
        <w:t xml:space="preserve"> las categorías con FG &lt; 15</w:t>
      </w:r>
      <w:r>
        <w:rPr>
          <w:rFonts w:cs="Arial"/>
          <w:sz w:val="20"/>
          <w:szCs w:val="20"/>
        </w:rPr>
        <w:t xml:space="preserve"> ml/min/1,73m2</w:t>
      </w:r>
      <w:r w:rsidRPr="009E2C96">
        <w:rPr>
          <w:rFonts w:cs="Arial"/>
          <w:sz w:val="20"/>
          <w:szCs w:val="20"/>
        </w:rPr>
        <w:t xml:space="preserve"> o albuminuria &gt; </w:t>
      </w:r>
      <w:r w:rsidRPr="0049306A">
        <w:rPr>
          <w:rFonts w:cs="Arial"/>
          <w:sz w:val="20"/>
          <w:szCs w:val="20"/>
        </w:rPr>
        <w:t>2000</w:t>
      </w:r>
      <w:r>
        <w:rPr>
          <w:rFonts w:cs="Arial"/>
          <w:sz w:val="20"/>
          <w:szCs w:val="20"/>
        </w:rPr>
        <w:t xml:space="preserve"> mg/g</w:t>
      </w:r>
      <w:r w:rsidRPr="0049306A">
        <w:rPr>
          <w:rFonts w:cs="Arial"/>
          <w:sz w:val="20"/>
          <w:szCs w:val="20"/>
        </w:rPr>
        <w:t xml:space="preserve"> (correspondiente al peor FG y albuminuria de rango nefrótico) se extrapolaron los resultados a partir de un meta</w:t>
      </w:r>
      <w:r>
        <w:rPr>
          <w:rFonts w:cs="Arial"/>
          <w:sz w:val="20"/>
          <w:szCs w:val="20"/>
        </w:rPr>
        <w:t xml:space="preserve"> </w:t>
      </w:r>
      <w:r w:rsidRPr="0049306A">
        <w:rPr>
          <w:rFonts w:cs="Arial"/>
          <w:sz w:val="20"/>
          <w:szCs w:val="20"/>
        </w:rPr>
        <w:t>análisis de cohortes con ERC. fracaso renal agudo y progresión de la enfermedad renal) a partir de un meta</w:t>
      </w:r>
      <w:r>
        <w:rPr>
          <w:rFonts w:cs="Arial"/>
          <w:sz w:val="20"/>
          <w:szCs w:val="20"/>
        </w:rPr>
        <w:t xml:space="preserve"> a</w:t>
      </w:r>
      <w:r w:rsidRPr="0049306A">
        <w:rPr>
          <w:rFonts w:cs="Arial"/>
          <w:sz w:val="20"/>
          <w:szCs w:val="20"/>
        </w:rPr>
        <w:t>nálisis de cohortes de población general.  El riesgo menor corresponde al color verde (categoría “bajo riesgo” y si no hay datos de lesión renal no se puede catalogar siquiera como ERC), seguido del color amarillo (riesgo “moderadamente aumentado”), naranja (“alto riesgo”), rojo y rojo oscuro (“muy alto riesgo”), que expresan riesgos crecientes para mortalidad global, mortalidad cardiovascular, fracaso renal tratado con diálisis o trasplante, fracaso renal agudo y progresión de la enfermedad renal.</w:t>
      </w:r>
    </w:p>
    <w:p w:rsidR="00E81B3D" w:rsidRPr="00E914FB" w:rsidRDefault="00E81B3D" w:rsidP="007E30EB">
      <w:pPr>
        <w:numPr>
          <w:ilvl w:val="0"/>
          <w:numId w:val="8"/>
        </w:numPr>
        <w:spacing w:before="120" w:after="120"/>
        <w:rPr>
          <w:rFonts w:cs="Arial"/>
          <w:sz w:val="20"/>
          <w:szCs w:val="20"/>
        </w:rPr>
      </w:pPr>
      <w:r w:rsidRPr="00244544">
        <w:rPr>
          <w:rFonts w:cs="Arial"/>
          <w:sz w:val="20"/>
          <w:szCs w:val="20"/>
          <w:lang w:val="en-US"/>
        </w:rPr>
        <w:t xml:space="preserve">A/CR 1 mg/g = 0.113 mg/mmol. </w:t>
      </w:r>
      <w:r w:rsidRPr="00E914FB">
        <w:rPr>
          <w:rFonts w:cs="Arial"/>
          <w:sz w:val="20"/>
          <w:szCs w:val="20"/>
        </w:rPr>
        <w:t>30 mg/g (3.4 mg/mmol).</w:t>
      </w:r>
    </w:p>
    <w:p w:rsidR="00E81B3D" w:rsidRPr="0049306A" w:rsidRDefault="00E81B3D" w:rsidP="007E30EB">
      <w:pPr>
        <w:spacing w:before="120" w:after="120"/>
        <w:ind w:left="1778"/>
        <w:rPr>
          <w:rFonts w:cs="Arial"/>
          <w:sz w:val="20"/>
          <w:szCs w:val="20"/>
        </w:rPr>
      </w:pPr>
      <w:r w:rsidRPr="0049306A">
        <w:rPr>
          <w:rFonts w:cs="Arial"/>
          <w:sz w:val="20"/>
          <w:szCs w:val="20"/>
        </w:rPr>
        <w:t>La clasificación final que será adaptada por las KDIGO 2012 será una versión simplificada de la tabla anterior, en que la categoría A1 correspondería al cociente A/CR normal (&lt; 30mg/g ó &lt; 3 mg/mmol), A2 a la A/CR elevada (30-299 mg/g ó 3-29 mg/mmol) y A3 a la A/CR muy elevada (≥ 300 mg/g ó ≥ 30 mg/mmol)</w:t>
      </w:r>
      <w:r w:rsidR="00936BE3">
        <w:rPr>
          <w:sz w:val="20"/>
          <w:szCs w:val="20"/>
        </w:rPr>
        <w:fldChar w:fldCharType="begin"/>
      </w:r>
      <w:r>
        <w:rPr>
          <w:rFonts w:cs="Arial"/>
          <w:sz w:val="20"/>
          <w:szCs w:val="20"/>
        </w:rPr>
        <w:instrText xml:space="preserve"> NOTEREF _Ref343106567 \f </w:instrText>
      </w:r>
      <w:r w:rsidR="00936BE3">
        <w:rPr>
          <w:sz w:val="20"/>
          <w:szCs w:val="20"/>
        </w:rPr>
        <w:fldChar w:fldCharType="separate"/>
      </w:r>
      <w:r w:rsidR="00852CBE" w:rsidRPr="00852CBE">
        <w:rPr>
          <w:rStyle w:val="Refdenotaalfinal"/>
        </w:rPr>
        <w:t>3</w:t>
      </w:r>
      <w:r w:rsidR="00936BE3">
        <w:rPr>
          <w:sz w:val="20"/>
          <w:szCs w:val="20"/>
        </w:rPr>
        <w:fldChar w:fldCharType="end"/>
      </w:r>
    </w:p>
    <w:p w:rsidR="00E81B3D" w:rsidRDefault="00E81B3D" w:rsidP="007E30EB">
      <w:pPr>
        <w:spacing w:before="120" w:after="120"/>
        <w:ind w:left="1778"/>
        <w:rPr>
          <w:rFonts w:cs="Arial"/>
          <w:b/>
          <w:sz w:val="18"/>
          <w:szCs w:val="18"/>
        </w:rPr>
      </w:pPr>
    </w:p>
    <w:p w:rsidR="00E81B3D" w:rsidRPr="00D83695" w:rsidRDefault="00E81B3D" w:rsidP="00904912">
      <w:pPr>
        <w:spacing w:before="120" w:after="120"/>
        <w:ind w:left="1778"/>
        <w:jc w:val="left"/>
        <w:rPr>
          <w:rFonts w:cs="Arial"/>
          <w:b/>
          <w:color w:val="FF0000"/>
          <w:sz w:val="20"/>
          <w:szCs w:val="20"/>
        </w:rPr>
      </w:pPr>
      <w:r>
        <w:rPr>
          <w:rFonts w:cs="Arial"/>
          <w:b/>
          <w:sz w:val="18"/>
          <w:szCs w:val="18"/>
        </w:rPr>
        <w:t>Tabla 6.</w:t>
      </w:r>
    </w:p>
    <w:p w:rsidR="00E81B3D" w:rsidRPr="00445FDC" w:rsidRDefault="009D115B" w:rsidP="00D83695">
      <w:pPr>
        <w:spacing w:before="120" w:after="120"/>
        <w:ind w:left="1778"/>
        <w:jc w:val="center"/>
        <w:rPr>
          <w:rFonts w:cs="Arial"/>
          <w:noProof/>
          <w:sz w:val="20"/>
          <w:szCs w:val="20"/>
        </w:rPr>
      </w:pPr>
      <w:r>
        <w:rPr>
          <w:noProof/>
          <w:szCs w:val="20"/>
        </w:rPr>
        <w:drawing>
          <wp:inline distT="0" distB="0" distL="0" distR="0">
            <wp:extent cx="4326255" cy="3063875"/>
            <wp:effectExtent l="19050" t="0" r="0" b="0"/>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a:srcRect/>
                    <a:stretch>
                      <a:fillRect/>
                    </a:stretch>
                  </pic:blipFill>
                  <pic:spPr bwMode="auto">
                    <a:xfrm>
                      <a:off x="0" y="0"/>
                      <a:ext cx="4326255" cy="3063875"/>
                    </a:xfrm>
                    <a:prstGeom prst="rect">
                      <a:avLst/>
                    </a:prstGeom>
                    <a:noFill/>
                    <a:ln w="9525">
                      <a:noFill/>
                      <a:miter lim="800000"/>
                      <a:headEnd/>
                      <a:tailEnd/>
                    </a:ln>
                  </pic:spPr>
                </pic:pic>
              </a:graphicData>
            </a:graphic>
          </wp:inline>
        </w:drawing>
      </w:r>
    </w:p>
    <w:p w:rsidR="00E81B3D" w:rsidRDefault="00E81B3D" w:rsidP="007E30EB">
      <w:pPr>
        <w:spacing w:before="120" w:after="120"/>
        <w:ind w:left="1418"/>
        <w:rPr>
          <w:sz w:val="16"/>
          <w:szCs w:val="16"/>
        </w:rPr>
      </w:pPr>
      <w:r w:rsidRPr="00445FDC">
        <w:rPr>
          <w:sz w:val="16"/>
          <w:szCs w:val="16"/>
        </w:rPr>
        <w:t>Nota: Los colores mostrarían el riesgo relativo ajustado para cinco eventos (mortalidad global, mortalidad cardiovascular, fracaso renal tratado con diálisis o trasplante, fracaso renal agudo y progresión de la enfermedad renal) a partir de un metanálisis de cohortes de población general</w:t>
      </w:r>
      <w:fldSimple w:instr=" NOTEREF _Ref343104596 \f  \* MERGEFORMAT ">
        <w:r w:rsidR="00852CBE" w:rsidRPr="00852CBE">
          <w:rPr>
            <w:rStyle w:val="Refdenotaalfinal"/>
            <w:sz w:val="16"/>
          </w:rPr>
          <w:t>2</w:t>
        </w:r>
      </w:fldSimple>
      <w:r w:rsidRPr="00445FDC">
        <w:rPr>
          <w:sz w:val="16"/>
          <w:szCs w:val="16"/>
        </w:rPr>
        <w:t>. El riesgo menor corresponde  al color verde (categoría “bajo riesgo” y si no hay datos de lesión renal no se puede catalogar siquiera como ERC), seguido del color amarillo (riesgo “moderadamente aumentado”), naranja (“alto riesgo”) y rojo (“muy alto riesgo”), que expresan riesgos crecientes para los eventos mencionados.</w:t>
      </w:r>
    </w:p>
    <w:p w:rsidR="00E81B3D" w:rsidRPr="00445FDC" w:rsidRDefault="00E81B3D" w:rsidP="007E30EB">
      <w:pPr>
        <w:spacing w:before="120" w:after="120"/>
        <w:ind w:left="1418"/>
        <w:rPr>
          <w:b/>
          <w:sz w:val="16"/>
          <w:szCs w:val="16"/>
        </w:rPr>
      </w:pPr>
    </w:p>
    <w:p w:rsidR="00E81B3D" w:rsidRPr="00445FDC" w:rsidRDefault="00E81B3D" w:rsidP="00EC1A8A">
      <w:pPr>
        <w:pStyle w:val="Ttulo2"/>
        <w:ind w:left="993" w:hanging="426"/>
        <w:rPr>
          <w:rFonts w:ascii="Arial" w:hAnsi="Arial" w:cs="Arial"/>
          <w:i w:val="0"/>
          <w:sz w:val="20"/>
          <w:szCs w:val="20"/>
        </w:rPr>
      </w:pPr>
      <w:bookmarkStart w:id="19" w:name="_Toc341725521"/>
      <w:r w:rsidRPr="00445FDC">
        <w:rPr>
          <w:rFonts w:ascii="Arial" w:hAnsi="Arial" w:cs="Arial"/>
          <w:i w:val="0"/>
          <w:sz w:val="20"/>
          <w:szCs w:val="20"/>
        </w:rPr>
        <w:t>Definición de progresión de la ERC</w:t>
      </w:r>
      <w:bookmarkEnd w:id="19"/>
    </w:p>
    <w:p w:rsidR="00E81B3D" w:rsidRPr="00445FDC" w:rsidRDefault="00E81B3D" w:rsidP="000957A1">
      <w:pPr>
        <w:spacing w:before="120" w:after="120"/>
        <w:ind w:left="993"/>
        <w:rPr>
          <w:rFonts w:cs="Arial"/>
          <w:sz w:val="20"/>
          <w:szCs w:val="20"/>
        </w:rPr>
      </w:pPr>
      <w:r w:rsidRPr="00445FDC">
        <w:rPr>
          <w:rFonts w:cs="Arial"/>
          <w:sz w:val="20"/>
          <w:szCs w:val="20"/>
        </w:rPr>
        <w:t>Aunque la clasificación de la ERC en diversos estadios es un aspecto importante para el tratamiento de los pacientes, es también de gran importancia establecer los criterios que definen la progresión de la ERC y los factores de riesgo que la hacen más probable. La existencia de una clasificación basada no únicamente en el FG, sino también en el grado de proteinuria (ver tabla 5) ayudará a una mejor estratificación para el riesgo de progresión de la ERC.</w:t>
      </w:r>
    </w:p>
    <w:p w:rsidR="00E81B3D" w:rsidRPr="0049306A" w:rsidRDefault="00E81B3D" w:rsidP="00DD4CD8">
      <w:pPr>
        <w:spacing w:before="120" w:after="120"/>
        <w:ind w:left="993"/>
        <w:rPr>
          <w:rFonts w:cs="Arial"/>
          <w:sz w:val="20"/>
          <w:szCs w:val="20"/>
        </w:rPr>
      </w:pPr>
      <w:r w:rsidRPr="0049306A">
        <w:rPr>
          <w:rFonts w:cs="Arial"/>
          <w:sz w:val="20"/>
          <w:szCs w:val="20"/>
        </w:rPr>
        <w:lastRenderedPageBreak/>
        <w:t>Muchos pacientes a lo largo de su evolución van a experimentar una progresión muy lenta o incluso no progresarán, en cambio otros pacientes con leves disminuciones en el FG pero que presentan factores principales para la progresión como proteinuria de rango nefrótico, pueden presentar un deterioro en la función renal en un periodo corto de tiempo.</w:t>
      </w:r>
    </w:p>
    <w:p w:rsidR="00E81B3D" w:rsidRPr="0049306A" w:rsidRDefault="00E81B3D" w:rsidP="00DD4CD8">
      <w:pPr>
        <w:spacing w:before="120" w:after="120"/>
        <w:ind w:left="993"/>
        <w:rPr>
          <w:rFonts w:cs="Arial"/>
          <w:sz w:val="20"/>
          <w:szCs w:val="20"/>
        </w:rPr>
      </w:pPr>
      <w:r w:rsidRPr="0049306A">
        <w:rPr>
          <w:rFonts w:cs="Arial"/>
          <w:sz w:val="20"/>
          <w:szCs w:val="20"/>
        </w:rPr>
        <w:t>La tasa media de disminución anual del FG se sitúa entre 0,7- 1 ml/min/1,73 m</w:t>
      </w:r>
      <w:r w:rsidRPr="0049306A">
        <w:rPr>
          <w:rFonts w:cs="Arial"/>
          <w:sz w:val="20"/>
          <w:szCs w:val="20"/>
          <w:u w:val="single"/>
          <w:vertAlign w:val="superscript"/>
        </w:rPr>
        <w:t>2</w:t>
      </w:r>
      <w:r w:rsidRPr="0049306A">
        <w:rPr>
          <w:rFonts w:cs="Arial"/>
          <w:sz w:val="20"/>
          <w:szCs w:val="20"/>
        </w:rPr>
        <w:t xml:space="preserve"> año a partir de los 40 </w:t>
      </w:r>
      <w:r w:rsidRPr="0028115E">
        <w:rPr>
          <w:rFonts w:cs="Arial"/>
          <w:sz w:val="20"/>
          <w:szCs w:val="20"/>
        </w:rPr>
        <w:t>años</w:t>
      </w:r>
      <w:fldSimple w:instr=" NOTEREF _Ref343108708 \f  \* MERGEFORMAT ">
        <w:r w:rsidR="00852CBE" w:rsidRPr="00852CBE">
          <w:rPr>
            <w:rStyle w:val="Refdenotaalfinal"/>
            <w:sz w:val="18"/>
          </w:rPr>
          <w:t>17</w:t>
        </w:r>
      </w:fldSimple>
      <w:r w:rsidRPr="0049306A">
        <w:rPr>
          <w:rFonts w:cs="Arial"/>
          <w:sz w:val="20"/>
          <w:szCs w:val="20"/>
        </w:rPr>
        <w:t>. No obstante la tasa de deterioro en</w:t>
      </w:r>
      <w:r w:rsidRPr="000957A1">
        <w:rPr>
          <w:rFonts w:cs="Arial"/>
          <w:sz w:val="20"/>
          <w:szCs w:val="20"/>
        </w:rPr>
        <w:t xml:space="preserve"> el FG es muy variable siendo mayor en pacientes con </w:t>
      </w:r>
      <w:r w:rsidRPr="0049306A">
        <w:rPr>
          <w:rFonts w:cs="Arial"/>
          <w:sz w:val="20"/>
          <w:szCs w:val="20"/>
        </w:rPr>
        <w:t xml:space="preserve">proteinuria importante, DM o HTA. Cuando se han analizado las distintas tasas de deterioro renal en distintas poblaciones o </w:t>
      </w:r>
      <w:r w:rsidRPr="002A3F24">
        <w:rPr>
          <w:rFonts w:cs="Arial"/>
          <w:sz w:val="20"/>
          <w:szCs w:val="20"/>
        </w:rPr>
        <w:t>pacientes con distintas patologías se observa que el deterioro en la función renal es mayor en aquellos pacientes con albuminuria</w:t>
      </w:r>
      <w:r>
        <w:rPr>
          <w:rFonts w:cs="Arial"/>
          <w:sz w:val="20"/>
          <w:szCs w:val="20"/>
        </w:rPr>
        <w:t>/ proteinuria</w:t>
      </w:r>
      <w:r w:rsidRPr="002A3F24">
        <w:rPr>
          <w:rFonts w:cs="Arial"/>
          <w:sz w:val="20"/>
          <w:szCs w:val="20"/>
        </w:rPr>
        <w:t xml:space="preserve"> cuando se comparan con la población general</w:t>
      </w:r>
      <w:bookmarkStart w:id="20" w:name="_Ref343108858"/>
      <w:r w:rsidRPr="002A3F24">
        <w:rPr>
          <w:rStyle w:val="Refdenotaalfinal"/>
          <w:sz w:val="20"/>
          <w:szCs w:val="20"/>
        </w:rPr>
        <w:endnoteReference w:id="53"/>
      </w:r>
      <w:bookmarkEnd w:id="20"/>
      <w:r w:rsidRPr="002A3F24">
        <w:rPr>
          <w:rFonts w:cs="Arial"/>
          <w:sz w:val="20"/>
          <w:szCs w:val="20"/>
        </w:rPr>
        <w:t xml:space="preserve">. Estos datos sugieren que la </w:t>
      </w:r>
      <w:r>
        <w:rPr>
          <w:rFonts w:cs="Arial"/>
          <w:sz w:val="20"/>
          <w:szCs w:val="20"/>
        </w:rPr>
        <w:t xml:space="preserve">albuminuria/ </w:t>
      </w:r>
      <w:r w:rsidRPr="002A3F24">
        <w:rPr>
          <w:rFonts w:cs="Arial"/>
          <w:sz w:val="20"/>
          <w:szCs w:val="20"/>
        </w:rPr>
        <w:t>proteinuria</w:t>
      </w:r>
      <w:r>
        <w:rPr>
          <w:rFonts w:cs="Arial"/>
          <w:sz w:val="20"/>
          <w:szCs w:val="20"/>
        </w:rPr>
        <w:t xml:space="preserve"> </w:t>
      </w:r>
      <w:r w:rsidRPr="0049306A">
        <w:rPr>
          <w:rFonts w:cs="Arial"/>
          <w:sz w:val="20"/>
          <w:szCs w:val="20"/>
        </w:rPr>
        <w:t>es mejor predictor de la tasa de deterioro renal que el nivel del FG basal</w:t>
      </w:r>
      <w:fldSimple w:instr=" NOTEREF _Ref343108858 \f  \* MERGEFORMAT ">
        <w:r w:rsidR="00852CBE" w:rsidRPr="00852CBE">
          <w:rPr>
            <w:rStyle w:val="Refdenotaalfinal"/>
            <w:sz w:val="20"/>
            <w:szCs w:val="20"/>
          </w:rPr>
          <w:t>52</w:t>
        </w:r>
      </w:fldSimple>
      <w:r w:rsidRPr="0049306A">
        <w:rPr>
          <w:rFonts w:cs="Arial"/>
          <w:sz w:val="20"/>
          <w:szCs w:val="20"/>
        </w:rPr>
        <w:t>. La tasa de deterioro renal es también mayor en ancianos diabéticos</w:t>
      </w:r>
      <w:bookmarkStart w:id="21" w:name="_Ref343108999"/>
      <w:r w:rsidRPr="0049306A">
        <w:rPr>
          <w:rStyle w:val="Refdenotaalfinal"/>
          <w:sz w:val="20"/>
          <w:szCs w:val="20"/>
        </w:rPr>
        <w:endnoteReference w:id="54"/>
      </w:r>
      <w:bookmarkEnd w:id="21"/>
      <w:r w:rsidRPr="0049306A">
        <w:rPr>
          <w:rFonts w:cs="Arial"/>
          <w:sz w:val="20"/>
          <w:szCs w:val="20"/>
        </w:rPr>
        <w:t>.</w:t>
      </w:r>
    </w:p>
    <w:p w:rsidR="00E81B3D" w:rsidRPr="0049306A" w:rsidRDefault="00E81B3D" w:rsidP="00DD4CD8">
      <w:pPr>
        <w:spacing w:before="120" w:after="120"/>
        <w:ind w:left="993"/>
        <w:rPr>
          <w:rFonts w:cs="Arial"/>
          <w:sz w:val="20"/>
          <w:szCs w:val="20"/>
        </w:rPr>
      </w:pPr>
      <w:r w:rsidRPr="0049306A">
        <w:rPr>
          <w:rFonts w:cs="Arial"/>
          <w:sz w:val="20"/>
          <w:szCs w:val="20"/>
        </w:rPr>
        <w:t>Se puede considerar una progresión mayor de 5 ml/min/ 1,73 m</w:t>
      </w:r>
      <w:r w:rsidRPr="0049306A">
        <w:rPr>
          <w:rFonts w:cs="Arial"/>
          <w:sz w:val="20"/>
          <w:szCs w:val="20"/>
          <w:vertAlign w:val="superscript"/>
        </w:rPr>
        <w:t>2</w:t>
      </w:r>
      <w:r w:rsidRPr="0049306A">
        <w:rPr>
          <w:rFonts w:cs="Arial"/>
          <w:sz w:val="20"/>
          <w:szCs w:val="20"/>
        </w:rPr>
        <w:t xml:space="preserve">/ año como una progresión </w:t>
      </w:r>
      <w:r w:rsidRPr="00A925A6">
        <w:rPr>
          <w:rFonts w:cs="Arial"/>
          <w:sz w:val="20"/>
          <w:szCs w:val="20"/>
        </w:rPr>
        <w:t>rápida</w:t>
      </w:r>
      <w:fldSimple w:instr=" NOTEREF _Ref343108858 \f  \* MERGEFORMAT ">
        <w:r w:rsidR="00852CBE" w:rsidRPr="00852CBE">
          <w:rPr>
            <w:rStyle w:val="Refdenotaalfinal"/>
            <w:sz w:val="20"/>
            <w:szCs w:val="20"/>
          </w:rPr>
          <w:t>52</w:t>
        </w:r>
      </w:fldSimple>
      <w:r w:rsidRPr="0049306A">
        <w:rPr>
          <w:rFonts w:cs="Arial"/>
          <w:sz w:val="20"/>
          <w:szCs w:val="20"/>
        </w:rPr>
        <w:t>. Con esta tasa, un paciente con ERC estadio 3 iniciaría diálisis a los 12 años o menos.</w:t>
      </w:r>
    </w:p>
    <w:p w:rsidR="00E81B3D" w:rsidRPr="0049306A" w:rsidRDefault="00E81B3D" w:rsidP="00DD4CD8">
      <w:pPr>
        <w:spacing w:before="120" w:after="120"/>
        <w:ind w:left="993"/>
        <w:rPr>
          <w:rFonts w:cs="Arial"/>
          <w:sz w:val="20"/>
          <w:szCs w:val="20"/>
        </w:rPr>
      </w:pPr>
      <w:r w:rsidRPr="0049306A">
        <w:rPr>
          <w:rFonts w:cs="Arial"/>
          <w:sz w:val="20"/>
          <w:szCs w:val="20"/>
        </w:rPr>
        <w:t>Aunque no existe una definición claramente establecida de progresión de ERC, las guías NICE 2008 en función de los datos anteriores define la progresión de la ERC como el descenso del FGR &gt; 5 ml/min/1,73 m</w:t>
      </w:r>
      <w:r w:rsidRPr="0049306A">
        <w:rPr>
          <w:rFonts w:cs="Arial"/>
          <w:sz w:val="20"/>
          <w:szCs w:val="20"/>
          <w:vertAlign w:val="superscript"/>
        </w:rPr>
        <w:t>2</w:t>
      </w:r>
      <w:r w:rsidRPr="0049306A">
        <w:rPr>
          <w:rFonts w:cs="Arial"/>
          <w:sz w:val="20"/>
          <w:szCs w:val="20"/>
        </w:rPr>
        <w:t>/año o &gt; 10 ml/min/1,73 m</w:t>
      </w:r>
      <w:r w:rsidRPr="0049306A">
        <w:rPr>
          <w:rFonts w:cs="Arial"/>
          <w:sz w:val="20"/>
          <w:szCs w:val="20"/>
          <w:vertAlign w:val="superscript"/>
        </w:rPr>
        <w:t>2</w:t>
      </w:r>
      <w:r w:rsidRPr="0049306A">
        <w:rPr>
          <w:rFonts w:cs="Arial"/>
          <w:sz w:val="20"/>
          <w:szCs w:val="20"/>
        </w:rPr>
        <w:t xml:space="preserve"> en 5 años</w:t>
      </w:r>
      <w:fldSimple w:instr=" NOTEREF _Ref343108858 \f  \* MERGEFORMAT ">
        <w:r w:rsidR="00852CBE" w:rsidRPr="00852CBE">
          <w:rPr>
            <w:rStyle w:val="Refdenotaalfinal"/>
            <w:sz w:val="20"/>
            <w:szCs w:val="20"/>
          </w:rPr>
          <w:t>52</w:t>
        </w:r>
      </w:fldSimple>
      <w:r w:rsidRPr="0049306A">
        <w:rPr>
          <w:rFonts w:cs="Arial"/>
          <w:sz w:val="20"/>
          <w:szCs w:val="20"/>
        </w:rPr>
        <w:t>.</w:t>
      </w:r>
    </w:p>
    <w:p w:rsidR="00E81B3D" w:rsidRPr="0049306A" w:rsidRDefault="00E81B3D" w:rsidP="00DD4CD8">
      <w:pPr>
        <w:spacing w:before="120" w:after="120"/>
        <w:ind w:left="993"/>
        <w:rPr>
          <w:rFonts w:cs="Arial"/>
          <w:sz w:val="20"/>
          <w:szCs w:val="20"/>
        </w:rPr>
      </w:pPr>
      <w:r w:rsidRPr="0049306A">
        <w:rPr>
          <w:rFonts w:cs="Arial"/>
          <w:sz w:val="20"/>
          <w:szCs w:val="20"/>
        </w:rPr>
        <w:t>Además, dichas guías recomiendan que para la interpretación de la tasa de progresión renal es necesario considerar el FG basal y la probabilidad de llegar a insuficiencia renal terminal, basándose en la edad del paciente y la tasa de progresión</w:t>
      </w:r>
      <w:fldSimple w:instr=" NOTEREF _Ref343108999 \f  \* MERGEFORMAT ">
        <w:r w:rsidR="00852CBE" w:rsidRPr="00852CBE">
          <w:rPr>
            <w:rStyle w:val="Refdenotaalfinal"/>
            <w:sz w:val="20"/>
            <w:szCs w:val="20"/>
          </w:rPr>
          <w:t>53</w:t>
        </w:r>
      </w:fldSimple>
      <w:r w:rsidRPr="0049306A">
        <w:rPr>
          <w:rFonts w:cs="Arial"/>
          <w:sz w:val="20"/>
          <w:szCs w:val="20"/>
        </w:rPr>
        <w:t>.</w:t>
      </w:r>
    </w:p>
    <w:p w:rsidR="00E81B3D" w:rsidRPr="0049306A" w:rsidRDefault="00E81B3D" w:rsidP="00915772">
      <w:pPr>
        <w:spacing w:before="120" w:after="120"/>
        <w:ind w:left="993"/>
        <w:rPr>
          <w:rFonts w:cs="Arial"/>
          <w:sz w:val="20"/>
          <w:szCs w:val="20"/>
        </w:rPr>
      </w:pPr>
      <w:r w:rsidRPr="0049306A">
        <w:rPr>
          <w:rFonts w:cs="Arial"/>
          <w:sz w:val="20"/>
          <w:szCs w:val="20"/>
        </w:rPr>
        <w:t>Puntos Clave</w:t>
      </w:r>
    </w:p>
    <w:p w:rsidR="00E81B3D" w:rsidRPr="0049306A" w:rsidRDefault="00E81B3D" w:rsidP="003F020D">
      <w:pPr>
        <w:numPr>
          <w:ilvl w:val="0"/>
          <w:numId w:val="16"/>
        </w:numPr>
        <w:spacing w:before="120" w:after="120"/>
        <w:ind w:left="1560" w:hanging="284"/>
        <w:rPr>
          <w:rFonts w:cs="Arial"/>
          <w:sz w:val="20"/>
          <w:szCs w:val="20"/>
        </w:rPr>
      </w:pPr>
      <w:r w:rsidRPr="0049306A">
        <w:rPr>
          <w:rFonts w:cs="Arial"/>
          <w:sz w:val="20"/>
          <w:szCs w:val="20"/>
        </w:rPr>
        <w:t>Tasa de progresión renal normal: 0,7-1 ml/min/1,73 m</w:t>
      </w:r>
      <w:r w:rsidRPr="0049306A">
        <w:rPr>
          <w:rFonts w:cs="Arial"/>
          <w:sz w:val="20"/>
          <w:szCs w:val="20"/>
          <w:vertAlign w:val="superscript"/>
        </w:rPr>
        <w:t>2</w:t>
      </w:r>
      <w:r w:rsidRPr="0049306A">
        <w:rPr>
          <w:rFonts w:cs="Arial"/>
          <w:sz w:val="20"/>
          <w:szCs w:val="20"/>
        </w:rPr>
        <w:t>/año a partir de los 40 años.</w:t>
      </w:r>
    </w:p>
    <w:p w:rsidR="00E81B3D" w:rsidRPr="0049306A" w:rsidRDefault="00E81B3D" w:rsidP="003F020D">
      <w:pPr>
        <w:numPr>
          <w:ilvl w:val="0"/>
          <w:numId w:val="16"/>
        </w:numPr>
        <w:spacing w:before="120" w:after="120"/>
        <w:ind w:left="1560" w:hanging="284"/>
        <w:rPr>
          <w:rFonts w:cs="Arial"/>
          <w:sz w:val="20"/>
          <w:szCs w:val="20"/>
        </w:rPr>
      </w:pPr>
      <w:r w:rsidRPr="0049306A">
        <w:rPr>
          <w:rFonts w:cs="Arial"/>
          <w:sz w:val="20"/>
          <w:szCs w:val="20"/>
        </w:rPr>
        <w:t>Se puede considerar que un paciente presenta progresión renal: Descenso del FG &gt; 5 ml/min/1,73 m</w:t>
      </w:r>
      <w:r w:rsidRPr="0049306A">
        <w:rPr>
          <w:rFonts w:cs="Arial"/>
          <w:sz w:val="20"/>
          <w:szCs w:val="20"/>
          <w:vertAlign w:val="superscript"/>
        </w:rPr>
        <w:t>2</w:t>
      </w:r>
      <w:r w:rsidRPr="0049306A">
        <w:rPr>
          <w:rFonts w:cs="Arial"/>
          <w:sz w:val="20"/>
          <w:szCs w:val="20"/>
        </w:rPr>
        <w:t>/año o &gt; 10 ml/min/1,73 m</w:t>
      </w:r>
      <w:r w:rsidRPr="0049306A">
        <w:rPr>
          <w:rFonts w:cs="Arial"/>
          <w:sz w:val="20"/>
          <w:szCs w:val="20"/>
          <w:vertAlign w:val="superscript"/>
        </w:rPr>
        <w:t>2</w:t>
      </w:r>
      <w:r w:rsidRPr="0049306A">
        <w:rPr>
          <w:rFonts w:cs="Arial"/>
          <w:sz w:val="20"/>
          <w:szCs w:val="20"/>
        </w:rPr>
        <w:t xml:space="preserve"> en 5 </w:t>
      </w:r>
      <w:r w:rsidRPr="00A925A6">
        <w:rPr>
          <w:rFonts w:cs="Arial"/>
          <w:sz w:val="20"/>
          <w:szCs w:val="20"/>
        </w:rPr>
        <w:t>años</w:t>
      </w:r>
      <w:fldSimple w:instr=" NOTEREF _Ref343108858 \f  \* MERGEFORMAT ">
        <w:r w:rsidR="00852CBE" w:rsidRPr="00852CBE">
          <w:rPr>
            <w:rStyle w:val="Refdenotaalfinal"/>
            <w:sz w:val="20"/>
            <w:szCs w:val="20"/>
          </w:rPr>
          <w:t>52</w:t>
        </w:r>
      </w:fldSimple>
      <w:r w:rsidRPr="0049306A">
        <w:rPr>
          <w:rFonts w:cs="Arial"/>
          <w:sz w:val="20"/>
          <w:szCs w:val="20"/>
        </w:rPr>
        <w:t>.</w:t>
      </w:r>
    </w:p>
    <w:p w:rsidR="00E81B3D" w:rsidRPr="00A72CF6" w:rsidRDefault="00E81B3D" w:rsidP="003F020D">
      <w:pPr>
        <w:numPr>
          <w:ilvl w:val="0"/>
          <w:numId w:val="16"/>
        </w:numPr>
        <w:spacing w:before="120" w:after="120"/>
        <w:ind w:left="1560" w:hanging="284"/>
        <w:rPr>
          <w:rFonts w:cs="Arial"/>
          <w:sz w:val="20"/>
          <w:szCs w:val="20"/>
        </w:rPr>
      </w:pPr>
      <w:r w:rsidRPr="0049306A">
        <w:rPr>
          <w:rFonts w:cs="Arial"/>
          <w:sz w:val="20"/>
          <w:szCs w:val="20"/>
        </w:rPr>
        <w:t xml:space="preserve">Se deberá definir la progresión en </w:t>
      </w:r>
      <w:r w:rsidRPr="00A72CF6">
        <w:rPr>
          <w:rFonts w:cs="Arial"/>
          <w:sz w:val="20"/>
          <w:szCs w:val="20"/>
        </w:rPr>
        <w:t xml:space="preserve">base a </w:t>
      </w:r>
      <w:r w:rsidRPr="00A72CF6">
        <w:rPr>
          <w:rFonts w:cs="Arial"/>
          <w:b/>
          <w:sz w:val="20"/>
          <w:szCs w:val="20"/>
        </w:rPr>
        <w:t>dos vertientes</w:t>
      </w:r>
      <w:r w:rsidRPr="00A72CF6">
        <w:rPr>
          <w:rFonts w:cs="Arial"/>
          <w:sz w:val="20"/>
          <w:szCs w:val="20"/>
        </w:rPr>
        <w:t>:</w:t>
      </w:r>
    </w:p>
    <w:p w:rsidR="00E81B3D" w:rsidRPr="00915772" w:rsidRDefault="00E81B3D" w:rsidP="003F020D">
      <w:pPr>
        <w:numPr>
          <w:ilvl w:val="1"/>
          <w:numId w:val="16"/>
        </w:numPr>
        <w:spacing w:before="120" w:after="120"/>
        <w:ind w:left="1985" w:hanging="284"/>
        <w:rPr>
          <w:rFonts w:cs="Arial"/>
          <w:sz w:val="20"/>
          <w:szCs w:val="20"/>
        </w:rPr>
      </w:pPr>
      <w:r w:rsidRPr="00A72CF6">
        <w:rPr>
          <w:rFonts w:cs="Arial"/>
          <w:b/>
          <w:sz w:val="20"/>
          <w:szCs w:val="20"/>
        </w:rPr>
        <w:t>Progresión a una categoría superior o más grave deterioro de la función renal</w:t>
      </w:r>
      <w:r w:rsidRPr="00A72CF6">
        <w:rPr>
          <w:rFonts w:cs="Arial"/>
          <w:sz w:val="20"/>
          <w:szCs w:val="20"/>
        </w:rPr>
        <w:t xml:space="preserve"> (estadio 1-5) </w:t>
      </w:r>
      <w:r w:rsidRPr="00A72CF6">
        <w:rPr>
          <w:rFonts w:cs="Arial"/>
          <w:b/>
          <w:sz w:val="20"/>
          <w:szCs w:val="20"/>
        </w:rPr>
        <w:t>o de albuminuria</w:t>
      </w:r>
      <w:r w:rsidRPr="00A72CF6">
        <w:rPr>
          <w:rFonts w:cs="Arial"/>
          <w:sz w:val="20"/>
          <w:szCs w:val="20"/>
        </w:rPr>
        <w:t xml:space="preserve"> (&lt;30, 30-299, &gt;300</w:t>
      </w:r>
      <w:r w:rsidRPr="00915772">
        <w:rPr>
          <w:rFonts w:cs="Arial"/>
          <w:sz w:val="20"/>
          <w:szCs w:val="20"/>
        </w:rPr>
        <w:t xml:space="preserve"> mg/g).</w:t>
      </w:r>
    </w:p>
    <w:p w:rsidR="00E81B3D" w:rsidRPr="00915772" w:rsidRDefault="00E81B3D" w:rsidP="003F020D">
      <w:pPr>
        <w:numPr>
          <w:ilvl w:val="1"/>
          <w:numId w:val="16"/>
        </w:numPr>
        <w:spacing w:before="120" w:after="120"/>
        <w:ind w:left="1985" w:hanging="284"/>
        <w:rPr>
          <w:rFonts w:cs="Arial"/>
          <w:sz w:val="20"/>
          <w:szCs w:val="20"/>
        </w:rPr>
      </w:pPr>
      <w:r w:rsidRPr="00EE14F0">
        <w:rPr>
          <w:rFonts w:cs="Arial"/>
          <w:b/>
          <w:sz w:val="20"/>
          <w:szCs w:val="20"/>
        </w:rPr>
        <w:t>Porcentaje de cambio respecto a la situación basal</w:t>
      </w:r>
      <w:r w:rsidRPr="00915772">
        <w:rPr>
          <w:rFonts w:cs="Arial"/>
          <w:sz w:val="20"/>
          <w:szCs w:val="20"/>
        </w:rPr>
        <w:t xml:space="preserve"> (&gt; 25 % de deterioro en el FG) o más del 50 % de incremento en el cociente albúmina/creatinina</w:t>
      </w:r>
      <w:r>
        <w:rPr>
          <w:rFonts w:cs="Arial"/>
          <w:sz w:val="20"/>
          <w:szCs w:val="20"/>
        </w:rPr>
        <w:t>.</w:t>
      </w:r>
    </w:p>
    <w:p w:rsidR="00E81B3D" w:rsidRPr="00A72CF6" w:rsidRDefault="00E81B3D" w:rsidP="003F020D">
      <w:pPr>
        <w:numPr>
          <w:ilvl w:val="0"/>
          <w:numId w:val="16"/>
        </w:numPr>
        <w:spacing w:before="120" w:after="120"/>
        <w:ind w:left="1560" w:hanging="284"/>
        <w:rPr>
          <w:rFonts w:cs="Arial"/>
          <w:sz w:val="20"/>
          <w:szCs w:val="20"/>
        </w:rPr>
      </w:pPr>
      <w:r>
        <w:rPr>
          <w:rFonts w:cs="Arial"/>
          <w:b/>
          <w:sz w:val="20"/>
          <w:szCs w:val="20"/>
        </w:rPr>
        <w:t>Para la valoración de la progresión renal s</w:t>
      </w:r>
      <w:r w:rsidRPr="00EE14F0">
        <w:rPr>
          <w:rFonts w:cs="Arial"/>
          <w:b/>
          <w:sz w:val="20"/>
          <w:szCs w:val="20"/>
        </w:rPr>
        <w:t>e recomienda la estimación del FG basal y la albuminuria</w:t>
      </w:r>
      <w:r w:rsidRPr="00915772">
        <w:rPr>
          <w:rFonts w:cs="Arial"/>
          <w:sz w:val="20"/>
          <w:szCs w:val="20"/>
        </w:rPr>
        <w:t xml:space="preserve">, así como identificar aquellos factores de progresión renal. Ello indicará la frecuencia de determinación de sucesivos </w:t>
      </w:r>
      <w:r w:rsidRPr="00A72CF6">
        <w:rPr>
          <w:rFonts w:cs="Arial"/>
          <w:sz w:val="20"/>
          <w:szCs w:val="20"/>
        </w:rPr>
        <w:t>controles analíticos.</w:t>
      </w:r>
    </w:p>
    <w:p w:rsidR="00E81B3D" w:rsidRPr="00915772" w:rsidRDefault="00E81B3D" w:rsidP="003F020D">
      <w:pPr>
        <w:numPr>
          <w:ilvl w:val="0"/>
          <w:numId w:val="16"/>
        </w:numPr>
        <w:spacing w:before="120" w:after="120"/>
        <w:ind w:left="1560" w:hanging="284"/>
        <w:rPr>
          <w:rFonts w:cs="Arial"/>
          <w:sz w:val="20"/>
          <w:szCs w:val="20"/>
        </w:rPr>
      </w:pPr>
      <w:r w:rsidRPr="00A72CF6">
        <w:rPr>
          <w:rFonts w:cs="Arial"/>
          <w:sz w:val="20"/>
          <w:szCs w:val="20"/>
        </w:rPr>
        <w:t>Para asegurar la exactitud de la medición de la tasa de deterioro renal, se aconseja realizar dos</w:t>
      </w:r>
      <w:r w:rsidRPr="00A72CF6">
        <w:rPr>
          <w:rFonts w:cs="Arial"/>
          <w:b/>
          <w:sz w:val="20"/>
          <w:szCs w:val="20"/>
        </w:rPr>
        <w:t xml:space="preserve"> medidas del FGe en un período no inferior a dos meses</w:t>
      </w:r>
      <w:r w:rsidRPr="00A72CF6">
        <w:rPr>
          <w:rFonts w:cs="Arial"/>
          <w:sz w:val="20"/>
          <w:szCs w:val="20"/>
        </w:rPr>
        <w:t xml:space="preserve"> y descartar</w:t>
      </w:r>
      <w:r w:rsidRPr="00915772">
        <w:rPr>
          <w:rFonts w:cs="Arial"/>
          <w:sz w:val="20"/>
          <w:szCs w:val="20"/>
        </w:rPr>
        <w:t xml:space="preserve"> una disminución debida a una insuficiencia renal aguda o al inicio de tratamiento con fármacos que afectan a la hemo</w:t>
      </w:r>
      <w:r>
        <w:rPr>
          <w:rFonts w:cs="Arial"/>
          <w:sz w:val="20"/>
          <w:szCs w:val="20"/>
        </w:rPr>
        <w:t>dinámica glomerular (IECAs, ARA</w:t>
      </w:r>
      <w:r w:rsidRPr="00915772">
        <w:rPr>
          <w:rFonts w:cs="Arial"/>
          <w:sz w:val="20"/>
          <w:szCs w:val="20"/>
        </w:rPr>
        <w:t xml:space="preserve"> II, A</w:t>
      </w:r>
      <w:r>
        <w:rPr>
          <w:rFonts w:cs="Arial"/>
          <w:sz w:val="20"/>
          <w:szCs w:val="20"/>
        </w:rPr>
        <w:t>INES)</w:t>
      </w:r>
      <w:r w:rsidRPr="00915772">
        <w:rPr>
          <w:rFonts w:cs="Arial"/>
          <w:sz w:val="20"/>
          <w:szCs w:val="20"/>
        </w:rPr>
        <w:t>.</w:t>
      </w:r>
    </w:p>
    <w:p w:rsidR="00E81B3D" w:rsidRPr="00A72CF6" w:rsidRDefault="00E81B3D" w:rsidP="003F020D">
      <w:pPr>
        <w:numPr>
          <w:ilvl w:val="0"/>
          <w:numId w:val="16"/>
        </w:numPr>
        <w:spacing w:before="120" w:after="120"/>
        <w:ind w:left="1560" w:hanging="284"/>
        <w:rPr>
          <w:rFonts w:cs="Arial"/>
          <w:sz w:val="20"/>
          <w:szCs w:val="20"/>
        </w:rPr>
      </w:pPr>
      <w:r w:rsidRPr="009C10AF">
        <w:rPr>
          <w:rFonts w:cs="Arial"/>
          <w:b/>
          <w:sz w:val="20"/>
          <w:szCs w:val="20"/>
        </w:rPr>
        <w:t>En pacientes con un nuevo diagnóstico de ERC</w:t>
      </w:r>
      <w:r w:rsidRPr="009C10AF">
        <w:rPr>
          <w:rFonts w:cs="Arial"/>
          <w:sz w:val="20"/>
          <w:szCs w:val="20"/>
        </w:rPr>
        <w:t xml:space="preserve"> (por primera vez), repetir la estimación del FG en un periodo no inferior a tres meses para descartar deterioro renal agudo por factores exógenos (descartados factores exógenos - diarrea, vómitos, depleción por diuréticos- o cualquier fármaco que afecte la hemodinámica glomerular como IECAs, ARA II, inhibidores directos de la renina</w:t>
      </w:r>
      <w:r w:rsidRPr="00A72CF6">
        <w:rPr>
          <w:rFonts w:cs="Arial"/>
          <w:sz w:val="20"/>
          <w:szCs w:val="20"/>
        </w:rPr>
        <w:t>, diuréticos). Si</w:t>
      </w:r>
      <w:r w:rsidRPr="009C10AF">
        <w:rPr>
          <w:rFonts w:cs="Arial"/>
          <w:sz w:val="20"/>
          <w:szCs w:val="20"/>
        </w:rPr>
        <w:t xml:space="preserve"> la situación clínica lo indica, podría repetirse en un periodo inferior </w:t>
      </w:r>
      <w:r w:rsidRPr="00A72CF6">
        <w:rPr>
          <w:rFonts w:cs="Arial"/>
          <w:sz w:val="20"/>
          <w:szCs w:val="20"/>
        </w:rPr>
        <w:t>a tres meses.</w:t>
      </w:r>
    </w:p>
    <w:p w:rsidR="00E81B3D" w:rsidRPr="00A72CF6" w:rsidRDefault="00E81B3D" w:rsidP="009E01A8">
      <w:pPr>
        <w:numPr>
          <w:ilvl w:val="0"/>
          <w:numId w:val="16"/>
        </w:numPr>
        <w:spacing w:before="120" w:after="120"/>
        <w:ind w:left="1560" w:hanging="284"/>
        <w:rPr>
          <w:rFonts w:cs="Arial"/>
          <w:sz w:val="20"/>
          <w:szCs w:val="20"/>
        </w:rPr>
      </w:pPr>
      <w:r w:rsidRPr="00A72CF6">
        <w:rPr>
          <w:rFonts w:cs="Arial"/>
          <w:b/>
          <w:sz w:val="20"/>
          <w:szCs w:val="20"/>
        </w:rPr>
        <w:t>En pacientes con ERC conocida</w:t>
      </w:r>
      <w:r w:rsidRPr="00A72CF6">
        <w:rPr>
          <w:rFonts w:cs="Arial"/>
          <w:sz w:val="20"/>
          <w:szCs w:val="20"/>
        </w:rPr>
        <w:t>, se sugiere medir FG y cociente albúmina/creatinina anualmente si presentan bajo riesgo de progresión, y más frecuentemente si presentan riesgo elevado de progresión.</w:t>
      </w:r>
    </w:p>
    <w:p w:rsidR="00E81B3D" w:rsidRPr="00215D7C" w:rsidRDefault="00E81B3D" w:rsidP="00EC1A8A">
      <w:pPr>
        <w:pStyle w:val="Ttulo2"/>
        <w:ind w:left="993" w:hanging="426"/>
        <w:rPr>
          <w:rFonts w:ascii="Arial" w:hAnsi="Arial" w:cs="Arial"/>
          <w:i w:val="0"/>
          <w:sz w:val="20"/>
          <w:szCs w:val="20"/>
        </w:rPr>
      </w:pPr>
      <w:bookmarkStart w:id="22" w:name="_Toc316486461"/>
      <w:bookmarkStart w:id="23" w:name="_Toc316486560"/>
      <w:r>
        <w:rPr>
          <w:rFonts w:ascii="Arial" w:hAnsi="Arial" w:cs="Arial"/>
          <w:i w:val="0"/>
          <w:sz w:val="20"/>
          <w:szCs w:val="20"/>
        </w:rPr>
        <w:t xml:space="preserve"> </w:t>
      </w:r>
      <w:bookmarkStart w:id="24" w:name="_Toc341725522"/>
      <w:r w:rsidRPr="00215D7C">
        <w:rPr>
          <w:rFonts w:ascii="Arial" w:hAnsi="Arial" w:cs="Arial"/>
          <w:i w:val="0"/>
          <w:sz w:val="20"/>
          <w:szCs w:val="20"/>
        </w:rPr>
        <w:t>Predictores de progresión.</w:t>
      </w:r>
      <w:bookmarkEnd w:id="22"/>
      <w:bookmarkEnd w:id="23"/>
      <w:bookmarkEnd w:id="24"/>
    </w:p>
    <w:p w:rsidR="00E81B3D" w:rsidRPr="00EE14F0" w:rsidRDefault="00E81B3D" w:rsidP="00DD4CD8">
      <w:pPr>
        <w:spacing w:before="120" w:after="120"/>
        <w:ind w:left="993"/>
        <w:rPr>
          <w:rFonts w:cs="Arial"/>
          <w:sz w:val="20"/>
          <w:szCs w:val="20"/>
        </w:rPr>
      </w:pPr>
      <w:bookmarkStart w:id="25" w:name="_Toc316486462"/>
      <w:bookmarkStart w:id="26" w:name="_Toc316486561"/>
      <w:r w:rsidRPr="0049306A">
        <w:rPr>
          <w:rFonts w:cs="Arial"/>
          <w:sz w:val="20"/>
          <w:szCs w:val="20"/>
        </w:rPr>
        <w:t>Los mecanismos de progresión en la ERC son diferentes dependiendo de diversos factores como la etiología de la ERC, presencia de DM, grado de p</w:t>
      </w:r>
      <w:r>
        <w:rPr>
          <w:rFonts w:cs="Arial"/>
          <w:sz w:val="20"/>
          <w:szCs w:val="20"/>
        </w:rPr>
        <w:t>roteinuria y factores genéticos</w:t>
      </w:r>
      <w:r w:rsidRPr="0049306A">
        <w:rPr>
          <w:rFonts w:cs="Arial"/>
          <w:sz w:val="20"/>
          <w:szCs w:val="20"/>
        </w:rPr>
        <w:t xml:space="preserve">. En el apartado anterior se describen los factores de progresión de la ERC, factores de susceptibilidad (incrementan la posibilidad de daño renal), factores iniciadores (inician directamente el daño renal) y factores de progresión (empeoran el daño renal y aceleran </w:t>
      </w:r>
      <w:r w:rsidRPr="00EE14F0">
        <w:rPr>
          <w:rFonts w:cs="Arial"/>
          <w:sz w:val="20"/>
          <w:szCs w:val="20"/>
        </w:rPr>
        <w:t>el deterioro funcional renal).</w:t>
      </w:r>
    </w:p>
    <w:p w:rsidR="00E81B3D" w:rsidRDefault="00E81B3D" w:rsidP="00DD4CD8">
      <w:pPr>
        <w:spacing w:before="120" w:after="120"/>
        <w:ind w:left="993"/>
        <w:rPr>
          <w:rFonts w:cs="Arial"/>
          <w:sz w:val="20"/>
          <w:szCs w:val="20"/>
        </w:rPr>
      </w:pPr>
      <w:r w:rsidRPr="00EE14F0">
        <w:rPr>
          <w:rFonts w:cs="Arial"/>
          <w:sz w:val="20"/>
          <w:szCs w:val="20"/>
        </w:rPr>
        <w:lastRenderedPageBreak/>
        <w:t>Los factores predictores de progresión de la ERC se muest</w:t>
      </w:r>
      <w:r>
        <w:rPr>
          <w:rFonts w:cs="Arial"/>
          <w:sz w:val="20"/>
          <w:szCs w:val="20"/>
        </w:rPr>
        <w:t xml:space="preserve">ran en la </w:t>
      </w:r>
      <w:r w:rsidRPr="00EE14F0">
        <w:rPr>
          <w:rFonts w:cs="Arial"/>
          <w:b/>
          <w:sz w:val="20"/>
          <w:szCs w:val="20"/>
        </w:rPr>
        <w:t>tabla 7</w:t>
      </w:r>
      <w:r w:rsidRPr="00EE14F0">
        <w:rPr>
          <w:rFonts w:cs="Arial"/>
          <w:sz w:val="20"/>
          <w:szCs w:val="20"/>
        </w:rPr>
        <w:t>. La actuación sobre dichos factores retrasará la progresión de la ERC.</w:t>
      </w:r>
    </w:p>
    <w:p w:rsidR="00E81B3D" w:rsidRDefault="00E81B3D" w:rsidP="00DD4CD8">
      <w:pPr>
        <w:spacing w:before="120" w:after="120"/>
        <w:ind w:left="993"/>
        <w:rPr>
          <w:rFonts w:cs="Arial"/>
          <w:b/>
          <w:sz w:val="18"/>
          <w:szCs w:val="18"/>
        </w:rPr>
      </w:pPr>
    </w:p>
    <w:p w:rsidR="00E81B3D" w:rsidRDefault="00E81B3D" w:rsidP="00904912">
      <w:pPr>
        <w:spacing w:before="120" w:after="120"/>
        <w:ind w:left="993"/>
        <w:jc w:val="left"/>
        <w:rPr>
          <w:rFonts w:cs="Arial"/>
          <w:sz w:val="20"/>
          <w:szCs w:val="20"/>
        </w:rPr>
      </w:pPr>
      <w:r>
        <w:rPr>
          <w:rFonts w:cs="Arial"/>
          <w:b/>
          <w:sz w:val="18"/>
          <w:szCs w:val="18"/>
        </w:rPr>
        <w:t>Tabla 7</w:t>
      </w:r>
      <w:r w:rsidRPr="00E1385B">
        <w:rPr>
          <w:rFonts w:cs="Arial"/>
          <w:b/>
          <w:sz w:val="18"/>
          <w:szCs w:val="18"/>
        </w:rPr>
        <w:t xml:space="preserve">. </w:t>
      </w:r>
      <w:r w:rsidRPr="00EE14F0">
        <w:rPr>
          <w:rFonts w:cs="Arial"/>
          <w:b/>
          <w:sz w:val="18"/>
          <w:szCs w:val="18"/>
        </w:rPr>
        <w:t>FACTORES PREDICTORES DE PROGRESIÓN DE LA ERC</w:t>
      </w:r>
    </w:p>
    <w:tbl>
      <w:tblPr>
        <w:tblW w:w="538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tblGrid>
      <w:tr w:rsidR="00E81B3D" w:rsidRPr="001723B8" w:rsidTr="009A077C">
        <w:trPr>
          <w:trHeight w:val="299"/>
        </w:trPr>
        <w:tc>
          <w:tcPr>
            <w:tcW w:w="5387" w:type="dxa"/>
            <w:vAlign w:val="center"/>
          </w:tcPr>
          <w:p w:rsidR="00E81B3D" w:rsidRPr="001723B8" w:rsidRDefault="00E81B3D" w:rsidP="00A925A6">
            <w:pPr>
              <w:jc w:val="left"/>
              <w:rPr>
                <w:b/>
                <w:sz w:val="18"/>
                <w:szCs w:val="18"/>
              </w:rPr>
            </w:pPr>
            <w:r w:rsidRPr="001723B8">
              <w:rPr>
                <w:b/>
                <w:sz w:val="18"/>
                <w:szCs w:val="18"/>
              </w:rPr>
              <w:t>Factores</w:t>
            </w:r>
            <w:fldSimple w:instr=" NOTEREF _Ref343108858 \f  \* MERGEFORMAT ">
              <w:r w:rsidR="00852CBE" w:rsidRPr="00852CBE">
                <w:rPr>
                  <w:rStyle w:val="Refdenotaalfinal"/>
                  <w:sz w:val="18"/>
                  <w:szCs w:val="18"/>
                </w:rPr>
                <w:t>52</w:t>
              </w:r>
            </w:fldSimple>
            <w:r w:rsidRPr="005C1CD8">
              <w:rPr>
                <w:sz w:val="18"/>
                <w:szCs w:val="18"/>
              </w:rPr>
              <w:t xml:space="preserve"> </w:t>
            </w:r>
            <w:r w:rsidRPr="005C1CD8">
              <w:rPr>
                <w:rStyle w:val="Refdenotaalfinal"/>
                <w:sz w:val="18"/>
                <w:szCs w:val="18"/>
              </w:rPr>
              <w:endnoteReference w:id="55"/>
            </w:r>
          </w:p>
        </w:tc>
      </w:tr>
      <w:tr w:rsidR="00E81B3D" w:rsidRPr="001723B8" w:rsidTr="009A077C">
        <w:trPr>
          <w:trHeight w:val="315"/>
        </w:trPr>
        <w:tc>
          <w:tcPr>
            <w:tcW w:w="5387" w:type="dxa"/>
            <w:vAlign w:val="center"/>
          </w:tcPr>
          <w:p w:rsidR="00E81B3D" w:rsidRPr="001723B8" w:rsidRDefault="00E81B3D" w:rsidP="009A077C">
            <w:pPr>
              <w:jc w:val="left"/>
              <w:rPr>
                <w:sz w:val="18"/>
                <w:szCs w:val="18"/>
              </w:rPr>
            </w:pPr>
            <w:r w:rsidRPr="001723B8">
              <w:rPr>
                <w:sz w:val="18"/>
                <w:szCs w:val="18"/>
              </w:rPr>
              <w:t>Proteinuria</w:t>
            </w:r>
            <w:fldSimple w:instr=" NOTEREF _Ref343109122 \f  \* MERGEFORMAT ">
              <w:r w:rsidR="00852CBE" w:rsidRPr="00852CBE">
                <w:rPr>
                  <w:rStyle w:val="Refdenotaalfinal"/>
                  <w:sz w:val="18"/>
                  <w:szCs w:val="18"/>
                </w:rPr>
                <w:t>44</w:t>
              </w:r>
            </w:fldSimple>
            <w:r w:rsidRPr="00A925A6">
              <w:rPr>
                <w:sz w:val="18"/>
                <w:szCs w:val="18"/>
              </w:rPr>
              <w:t xml:space="preserve"> </w:t>
            </w:r>
            <w:r w:rsidRPr="001723B8">
              <w:rPr>
                <w:rStyle w:val="Refdenotaalfinal"/>
                <w:sz w:val="18"/>
                <w:szCs w:val="18"/>
              </w:rPr>
              <w:endnoteReference w:id="56"/>
            </w:r>
          </w:p>
          <w:p w:rsidR="00E81B3D" w:rsidRPr="001723B8" w:rsidRDefault="00E81B3D" w:rsidP="009A077C">
            <w:pPr>
              <w:jc w:val="left"/>
              <w:rPr>
                <w:sz w:val="18"/>
                <w:szCs w:val="18"/>
              </w:rPr>
            </w:pPr>
            <w:r w:rsidRPr="001723B8">
              <w:rPr>
                <w:sz w:val="18"/>
                <w:szCs w:val="18"/>
              </w:rPr>
              <w:t>Hipertensión arterial</w:t>
            </w:r>
            <w:r w:rsidRPr="001723B8">
              <w:rPr>
                <w:rStyle w:val="Refdenotaalfinal"/>
                <w:sz w:val="18"/>
                <w:szCs w:val="18"/>
              </w:rPr>
              <w:endnoteReference w:id="57"/>
            </w:r>
            <w:r w:rsidRPr="001723B8">
              <w:rPr>
                <w:sz w:val="18"/>
                <w:szCs w:val="18"/>
              </w:rPr>
              <w:t xml:space="preserve"> </w:t>
            </w:r>
            <w:r w:rsidRPr="001723B8">
              <w:rPr>
                <w:rStyle w:val="Refdenotaalfinal"/>
                <w:sz w:val="18"/>
                <w:szCs w:val="18"/>
              </w:rPr>
              <w:endnoteReference w:id="58"/>
            </w:r>
          </w:p>
          <w:p w:rsidR="00E81B3D" w:rsidRPr="001723B8" w:rsidRDefault="00E81B3D" w:rsidP="009A077C">
            <w:pPr>
              <w:jc w:val="left"/>
              <w:rPr>
                <w:sz w:val="18"/>
                <w:szCs w:val="18"/>
              </w:rPr>
            </w:pPr>
            <w:r w:rsidRPr="001723B8">
              <w:rPr>
                <w:sz w:val="18"/>
                <w:szCs w:val="18"/>
              </w:rPr>
              <w:t>Diabetes mellitus</w:t>
            </w:r>
            <w:r w:rsidRPr="001723B8">
              <w:rPr>
                <w:rStyle w:val="Refdenotaalfinal"/>
                <w:sz w:val="18"/>
                <w:szCs w:val="18"/>
              </w:rPr>
              <w:endnoteReference w:id="59"/>
            </w:r>
          </w:p>
          <w:p w:rsidR="00E81B3D" w:rsidRPr="001723B8" w:rsidRDefault="00E81B3D" w:rsidP="009A077C">
            <w:pPr>
              <w:jc w:val="left"/>
              <w:rPr>
                <w:sz w:val="18"/>
                <w:szCs w:val="18"/>
              </w:rPr>
            </w:pPr>
            <w:r w:rsidRPr="001723B8">
              <w:rPr>
                <w:sz w:val="18"/>
                <w:szCs w:val="18"/>
              </w:rPr>
              <w:t>Enfermedad cardiovascular</w:t>
            </w:r>
            <w:r w:rsidRPr="001723B8">
              <w:rPr>
                <w:rStyle w:val="Refdenotaalfinal"/>
                <w:sz w:val="18"/>
                <w:szCs w:val="18"/>
              </w:rPr>
              <w:endnoteReference w:id="60"/>
            </w:r>
          </w:p>
          <w:p w:rsidR="00E81B3D" w:rsidRPr="001723B8" w:rsidRDefault="00E81B3D" w:rsidP="009A077C">
            <w:pPr>
              <w:jc w:val="left"/>
              <w:rPr>
                <w:sz w:val="18"/>
                <w:szCs w:val="18"/>
              </w:rPr>
            </w:pPr>
            <w:r w:rsidRPr="001723B8">
              <w:rPr>
                <w:sz w:val="18"/>
                <w:szCs w:val="18"/>
              </w:rPr>
              <w:t>Tabaquismo</w:t>
            </w:r>
            <w:r w:rsidRPr="001723B8">
              <w:rPr>
                <w:rStyle w:val="Refdenotaalfinal"/>
                <w:sz w:val="18"/>
                <w:szCs w:val="18"/>
              </w:rPr>
              <w:endnoteReference w:id="61"/>
            </w:r>
          </w:p>
          <w:p w:rsidR="00E81B3D" w:rsidRPr="001723B8" w:rsidRDefault="00E81B3D" w:rsidP="009A077C">
            <w:pPr>
              <w:jc w:val="left"/>
              <w:rPr>
                <w:sz w:val="18"/>
                <w:szCs w:val="18"/>
              </w:rPr>
            </w:pPr>
            <w:r w:rsidRPr="001723B8">
              <w:rPr>
                <w:sz w:val="18"/>
                <w:szCs w:val="18"/>
              </w:rPr>
              <w:t>Obesidad</w:t>
            </w:r>
            <w:r w:rsidRPr="001723B8">
              <w:rPr>
                <w:rStyle w:val="Refdenotaalfinal"/>
                <w:sz w:val="18"/>
                <w:szCs w:val="18"/>
              </w:rPr>
              <w:endnoteReference w:id="62"/>
            </w:r>
          </w:p>
          <w:p w:rsidR="00E81B3D" w:rsidRPr="001723B8" w:rsidRDefault="00E81B3D" w:rsidP="009A077C">
            <w:pPr>
              <w:jc w:val="left"/>
              <w:rPr>
                <w:sz w:val="18"/>
                <w:szCs w:val="18"/>
              </w:rPr>
            </w:pPr>
            <w:r w:rsidRPr="001723B8">
              <w:rPr>
                <w:sz w:val="18"/>
                <w:szCs w:val="18"/>
              </w:rPr>
              <w:t>Raza negra o asiática</w:t>
            </w:r>
            <w:r w:rsidRPr="001723B8">
              <w:rPr>
                <w:rStyle w:val="Refdenotaalfinal"/>
                <w:sz w:val="18"/>
                <w:szCs w:val="18"/>
              </w:rPr>
              <w:endnoteReference w:id="63"/>
            </w:r>
          </w:p>
          <w:p w:rsidR="00E81B3D" w:rsidRPr="001723B8" w:rsidRDefault="00E81B3D" w:rsidP="009A077C">
            <w:pPr>
              <w:jc w:val="left"/>
              <w:rPr>
                <w:sz w:val="18"/>
                <w:szCs w:val="18"/>
              </w:rPr>
            </w:pPr>
            <w:r w:rsidRPr="001723B8">
              <w:rPr>
                <w:sz w:val="18"/>
                <w:szCs w:val="18"/>
              </w:rPr>
              <w:t>Tratamiento crónico con AINES</w:t>
            </w:r>
            <w:r w:rsidRPr="001723B8">
              <w:rPr>
                <w:rStyle w:val="Refdenotaalfinal"/>
                <w:sz w:val="18"/>
                <w:szCs w:val="18"/>
              </w:rPr>
              <w:endnoteReference w:id="64"/>
            </w:r>
          </w:p>
          <w:p w:rsidR="00E81B3D" w:rsidRPr="001723B8" w:rsidRDefault="00E81B3D" w:rsidP="00FB4AAB">
            <w:pPr>
              <w:jc w:val="left"/>
              <w:rPr>
                <w:sz w:val="18"/>
                <w:szCs w:val="18"/>
              </w:rPr>
            </w:pPr>
            <w:r w:rsidRPr="001723B8">
              <w:rPr>
                <w:sz w:val="18"/>
                <w:szCs w:val="18"/>
              </w:rPr>
              <w:t>Obstrucción del tracto urinario</w:t>
            </w:r>
            <w:fldSimple w:instr=" NOTEREF _Ref343108858 \f  \* MERGEFORMAT ">
              <w:r w:rsidR="00852CBE" w:rsidRPr="00852CBE">
                <w:rPr>
                  <w:rStyle w:val="Refdenotaalfinal"/>
                  <w:sz w:val="18"/>
                  <w:szCs w:val="18"/>
                </w:rPr>
                <w:t>52</w:t>
              </w:r>
            </w:fldSimple>
          </w:p>
        </w:tc>
      </w:tr>
    </w:tbl>
    <w:p w:rsidR="00E81B3D" w:rsidRDefault="00E81B3D" w:rsidP="009E01A8">
      <w:pPr>
        <w:pStyle w:val="Ttulo2"/>
        <w:numPr>
          <w:ilvl w:val="0"/>
          <w:numId w:val="0"/>
        </w:numPr>
        <w:rPr>
          <w:rFonts w:ascii="Arial" w:hAnsi="Arial" w:cs="Arial"/>
          <w:i w:val="0"/>
          <w:sz w:val="20"/>
          <w:szCs w:val="20"/>
          <w:highlight w:val="magenta"/>
        </w:rPr>
      </w:pPr>
    </w:p>
    <w:p w:rsidR="00E81B3D" w:rsidRDefault="00E81B3D" w:rsidP="00EC1A8A">
      <w:pPr>
        <w:pStyle w:val="Ttulo2"/>
        <w:ind w:left="993" w:hanging="426"/>
        <w:rPr>
          <w:rFonts w:ascii="Arial" w:hAnsi="Arial" w:cs="Arial"/>
          <w:i w:val="0"/>
          <w:sz w:val="20"/>
          <w:szCs w:val="20"/>
        </w:rPr>
      </w:pPr>
      <w:bookmarkStart w:id="27" w:name="_Toc341725523"/>
      <w:r w:rsidRPr="00215D7C">
        <w:rPr>
          <w:rFonts w:ascii="Arial" w:hAnsi="Arial" w:cs="Arial"/>
          <w:i w:val="0"/>
          <w:sz w:val="20"/>
          <w:szCs w:val="20"/>
        </w:rPr>
        <w:t>Criterios de derivación a nefrología.</w:t>
      </w:r>
      <w:bookmarkEnd w:id="25"/>
      <w:bookmarkEnd w:id="26"/>
      <w:bookmarkEnd w:id="27"/>
    </w:p>
    <w:p w:rsidR="00E81B3D" w:rsidRDefault="00E81B3D" w:rsidP="004B66EE">
      <w:pPr>
        <w:spacing w:before="120" w:after="120"/>
        <w:ind w:left="993"/>
        <w:rPr>
          <w:rFonts w:cs="Arial"/>
          <w:sz w:val="20"/>
          <w:szCs w:val="20"/>
        </w:rPr>
      </w:pPr>
      <w:r w:rsidRPr="00BF1AAA">
        <w:rPr>
          <w:rFonts w:cs="Arial"/>
          <w:sz w:val="20"/>
          <w:szCs w:val="20"/>
        </w:rPr>
        <w:t>La derivación a Nefrología se hará teniendo en cuenta el estadio de ERC, la velocidad de progresión de la insuficiencia renal, el grado de albu</w:t>
      </w:r>
      <w:r w:rsidRPr="00B37B08">
        <w:rPr>
          <w:rFonts w:cs="Arial"/>
          <w:sz w:val="20"/>
          <w:szCs w:val="20"/>
        </w:rPr>
        <w:t xml:space="preserve">minuria, la presencia de signos de alarma, la comorbilidad asociada y la situación funcional </w:t>
      </w:r>
      <w:r w:rsidRPr="00651852">
        <w:rPr>
          <w:rFonts w:cs="Arial"/>
          <w:sz w:val="20"/>
          <w:szCs w:val="20"/>
        </w:rPr>
        <w:t>del paciente</w:t>
      </w:r>
      <w:fldSimple w:instr=" NOTEREF _Ref343105053 \h  \* MERGEFORMAT ">
        <w:r w:rsidR="00852CBE" w:rsidRPr="00852CBE">
          <w:rPr>
            <w:rFonts w:cs="Arial"/>
            <w:sz w:val="20"/>
            <w:szCs w:val="20"/>
            <w:vertAlign w:val="superscript"/>
          </w:rPr>
          <w:t>6</w:t>
        </w:r>
      </w:fldSimple>
      <w:r>
        <w:rPr>
          <w:rFonts w:cs="Arial"/>
          <w:sz w:val="20"/>
          <w:szCs w:val="20"/>
        </w:rPr>
        <w:t xml:space="preserve"> </w:t>
      </w:r>
      <w:r>
        <w:rPr>
          <w:rStyle w:val="Refdenotaalfinal"/>
          <w:sz w:val="20"/>
          <w:szCs w:val="20"/>
        </w:rPr>
        <w:endnoteReference w:id="65"/>
      </w:r>
      <w:r>
        <w:rPr>
          <w:rFonts w:cs="Arial"/>
          <w:sz w:val="20"/>
          <w:szCs w:val="20"/>
        </w:rPr>
        <w:t xml:space="preserve"> </w:t>
      </w:r>
      <w:r>
        <w:rPr>
          <w:rStyle w:val="Refdenotaalfinal"/>
          <w:sz w:val="20"/>
          <w:szCs w:val="20"/>
        </w:rPr>
        <w:endnoteReference w:id="66"/>
      </w:r>
      <w:r>
        <w:rPr>
          <w:rFonts w:cs="Arial"/>
          <w:sz w:val="20"/>
          <w:szCs w:val="20"/>
        </w:rPr>
        <w:t>.</w:t>
      </w:r>
    </w:p>
    <w:p w:rsidR="00E81B3D" w:rsidRPr="002944C1" w:rsidRDefault="00E81B3D" w:rsidP="002944C1">
      <w:pPr>
        <w:numPr>
          <w:ilvl w:val="0"/>
          <w:numId w:val="31"/>
        </w:numPr>
        <w:spacing w:before="120" w:after="120"/>
        <w:ind w:left="1418" w:hanging="284"/>
        <w:rPr>
          <w:rFonts w:cs="Arial"/>
          <w:sz w:val="20"/>
          <w:szCs w:val="20"/>
        </w:rPr>
      </w:pPr>
      <w:r w:rsidRPr="00B37B08">
        <w:rPr>
          <w:rFonts w:cs="Arial"/>
          <w:sz w:val="20"/>
          <w:szCs w:val="20"/>
        </w:rPr>
        <w:t>En líneas generales</w:t>
      </w:r>
      <w:r>
        <w:rPr>
          <w:rFonts w:cs="Arial"/>
          <w:sz w:val="20"/>
          <w:szCs w:val="20"/>
        </w:rPr>
        <w:t xml:space="preserve"> </w:t>
      </w:r>
      <w:r w:rsidRPr="007F3F5F">
        <w:rPr>
          <w:rFonts w:cs="Arial"/>
          <w:b/>
          <w:sz w:val="20"/>
          <w:szCs w:val="20"/>
        </w:rPr>
        <w:t>se deberán remitir al especialista en Nefrologia los pacientes con</w:t>
      </w:r>
      <w:r>
        <w:rPr>
          <w:rFonts w:cs="Arial"/>
          <w:b/>
          <w:sz w:val="20"/>
          <w:szCs w:val="20"/>
        </w:rPr>
        <w:t xml:space="preserve"> </w:t>
      </w:r>
      <w:r w:rsidRPr="00853A41">
        <w:rPr>
          <w:rFonts w:cs="Arial"/>
          <w:sz w:val="20"/>
          <w:szCs w:val="20"/>
        </w:rPr>
        <w:t>FGe &lt; 30 ml/min/1.73 m</w:t>
      </w:r>
      <w:r w:rsidRPr="0064624B">
        <w:rPr>
          <w:rFonts w:cs="Arial"/>
          <w:sz w:val="20"/>
          <w:szCs w:val="20"/>
          <w:vertAlign w:val="superscript"/>
        </w:rPr>
        <w:t>2</w:t>
      </w:r>
      <w:r w:rsidRPr="00853A41">
        <w:rPr>
          <w:rFonts w:cs="Arial"/>
          <w:sz w:val="20"/>
          <w:szCs w:val="20"/>
        </w:rPr>
        <w:t xml:space="preserve"> (excepto &gt; 80 años sin progresión renal, albuminuria &lt; 300 mg/g, &lt;signos de alarma y sin planteamiento de tratamiento sustitutivo renal) (ver debajo).</w:t>
      </w:r>
    </w:p>
    <w:p w:rsidR="00E81B3D" w:rsidRDefault="00E81B3D" w:rsidP="004B66EE">
      <w:pPr>
        <w:numPr>
          <w:ilvl w:val="0"/>
          <w:numId w:val="31"/>
        </w:numPr>
        <w:spacing w:before="120" w:after="120"/>
        <w:ind w:left="1418" w:hanging="284"/>
        <w:rPr>
          <w:rFonts w:cs="Arial"/>
          <w:sz w:val="20"/>
          <w:szCs w:val="20"/>
        </w:rPr>
      </w:pPr>
      <w:r>
        <w:rPr>
          <w:rFonts w:cs="Arial"/>
          <w:b/>
          <w:sz w:val="20"/>
          <w:szCs w:val="20"/>
        </w:rPr>
        <w:t>Según filtrado g</w:t>
      </w:r>
      <w:r w:rsidRPr="00C671BD">
        <w:rPr>
          <w:rFonts w:cs="Arial"/>
          <w:b/>
          <w:sz w:val="20"/>
          <w:szCs w:val="20"/>
        </w:rPr>
        <w:t>lomerular</w:t>
      </w:r>
      <w:r>
        <w:rPr>
          <w:rFonts w:cs="Arial"/>
          <w:sz w:val="20"/>
          <w:szCs w:val="20"/>
        </w:rPr>
        <w:t xml:space="preserve">: </w:t>
      </w:r>
    </w:p>
    <w:p w:rsidR="00E81B3D" w:rsidRDefault="00E81B3D" w:rsidP="004B66EE">
      <w:pPr>
        <w:numPr>
          <w:ilvl w:val="0"/>
          <w:numId w:val="31"/>
        </w:numPr>
        <w:spacing w:before="120" w:after="120"/>
        <w:ind w:left="2127" w:hanging="284"/>
        <w:rPr>
          <w:rFonts w:cs="Arial"/>
          <w:sz w:val="20"/>
          <w:szCs w:val="20"/>
        </w:rPr>
      </w:pPr>
      <w:r w:rsidRPr="0074343D">
        <w:rPr>
          <w:rFonts w:cs="Arial"/>
          <w:sz w:val="20"/>
          <w:szCs w:val="20"/>
        </w:rPr>
        <w:t>Todos los pacientes con FGe &lt; 30 ml/min/1,73 m</w:t>
      </w:r>
      <w:r>
        <w:rPr>
          <w:rFonts w:cs="Arial"/>
          <w:sz w:val="20"/>
          <w:szCs w:val="20"/>
          <w:vertAlign w:val="superscript"/>
        </w:rPr>
        <w:t>2</w:t>
      </w:r>
      <w:r w:rsidRPr="0074343D">
        <w:rPr>
          <w:rFonts w:cs="Arial"/>
          <w:sz w:val="20"/>
          <w:szCs w:val="20"/>
        </w:rPr>
        <w:t>, excep</w:t>
      </w:r>
      <w:r>
        <w:rPr>
          <w:rFonts w:cs="Arial"/>
          <w:sz w:val="20"/>
          <w:szCs w:val="20"/>
        </w:rPr>
        <w:t xml:space="preserve">to los </w:t>
      </w:r>
      <w:r w:rsidRPr="0074343D">
        <w:rPr>
          <w:rFonts w:cs="Arial"/>
          <w:sz w:val="20"/>
          <w:szCs w:val="20"/>
        </w:rPr>
        <w:t xml:space="preserve">pacientes &gt; 80 años sin progresión renal. </w:t>
      </w:r>
    </w:p>
    <w:p w:rsidR="00E81B3D" w:rsidRDefault="00E81B3D" w:rsidP="004B66EE">
      <w:pPr>
        <w:numPr>
          <w:ilvl w:val="0"/>
          <w:numId w:val="31"/>
        </w:numPr>
        <w:spacing w:before="120" w:after="120"/>
        <w:ind w:left="2127" w:hanging="284"/>
        <w:rPr>
          <w:rFonts w:cs="Arial"/>
          <w:sz w:val="20"/>
          <w:szCs w:val="20"/>
        </w:rPr>
      </w:pPr>
      <w:r>
        <w:rPr>
          <w:rFonts w:cs="Arial"/>
          <w:sz w:val="20"/>
          <w:szCs w:val="20"/>
        </w:rPr>
        <w:t>Pacientes &gt; 80 años y con FGe &lt; 20 ml/min/1,73 m</w:t>
      </w:r>
      <w:r w:rsidRPr="00A47C3A">
        <w:rPr>
          <w:rFonts w:cs="Arial"/>
          <w:sz w:val="20"/>
          <w:szCs w:val="20"/>
          <w:vertAlign w:val="superscript"/>
        </w:rPr>
        <w:t>2</w:t>
      </w:r>
      <w:r>
        <w:rPr>
          <w:rFonts w:cs="Arial"/>
          <w:sz w:val="20"/>
          <w:szCs w:val="20"/>
        </w:rPr>
        <w:t xml:space="preserve">, si la situación general del paciente lo aconseja, se pueden remitir para una valoración nefrológica, y pactar el tratamiento. Se recomienda que el paciente candidato se remita a Nefrologia al menos un año antes del inicio de terapia sustitutiva renal. Aunque este periodo no es fácil de calcular, la presencia de progresión renal (ver punto 5) puede servir de guía. El objetivo es evitar que un paciente candidato a terapia sustitutiva renal requiera diálisis no programada. </w:t>
      </w:r>
    </w:p>
    <w:p w:rsidR="00E81B3D" w:rsidRPr="00C671BD" w:rsidRDefault="00E81B3D" w:rsidP="004B66EE">
      <w:pPr>
        <w:numPr>
          <w:ilvl w:val="0"/>
          <w:numId w:val="31"/>
        </w:numPr>
        <w:spacing w:before="120" w:after="120"/>
        <w:ind w:left="2127" w:hanging="284"/>
        <w:rPr>
          <w:rFonts w:cs="Arial"/>
          <w:sz w:val="20"/>
          <w:szCs w:val="20"/>
        </w:rPr>
      </w:pPr>
      <w:r>
        <w:rPr>
          <w:rFonts w:cs="Arial"/>
          <w:sz w:val="20"/>
          <w:szCs w:val="20"/>
        </w:rPr>
        <w:t>Los pacientes &lt; 70 años con FGe entre 30-45 ml/min/1,73 m</w:t>
      </w:r>
      <w:r w:rsidRPr="00A47C3A">
        <w:rPr>
          <w:rFonts w:cs="Arial"/>
          <w:sz w:val="20"/>
          <w:szCs w:val="20"/>
          <w:vertAlign w:val="superscript"/>
        </w:rPr>
        <w:t>2</w:t>
      </w:r>
      <w:r>
        <w:rPr>
          <w:rFonts w:cs="Arial"/>
          <w:sz w:val="20"/>
          <w:szCs w:val="20"/>
        </w:rPr>
        <w:t xml:space="preserve"> deberá realizarse una monitorización más frecuente (cada 3-6 meses) remitiéndose a Nefrología solo en caso de progresión de la albuminuria en dos controles consecutivos o cociente albúmina/creatinina cercano a 300 mg/g. </w:t>
      </w:r>
    </w:p>
    <w:p w:rsidR="00E81B3D" w:rsidRPr="00853A41" w:rsidRDefault="00E81B3D" w:rsidP="004B66EE">
      <w:pPr>
        <w:numPr>
          <w:ilvl w:val="0"/>
          <w:numId w:val="31"/>
        </w:numPr>
        <w:spacing w:before="120" w:after="120"/>
        <w:ind w:left="1418" w:hanging="284"/>
        <w:rPr>
          <w:rFonts w:cs="Arial"/>
          <w:sz w:val="20"/>
          <w:szCs w:val="20"/>
        </w:rPr>
      </w:pPr>
      <w:r w:rsidRPr="00853A41">
        <w:rPr>
          <w:rFonts w:cs="Arial"/>
          <w:b/>
          <w:sz w:val="20"/>
          <w:szCs w:val="20"/>
        </w:rPr>
        <w:t>Según albuminuria</w:t>
      </w:r>
      <w:r>
        <w:rPr>
          <w:rFonts w:cs="Arial"/>
          <w:sz w:val="20"/>
          <w:szCs w:val="20"/>
        </w:rPr>
        <w:t xml:space="preserve">: </w:t>
      </w:r>
      <w:r w:rsidRPr="00853A41">
        <w:rPr>
          <w:rFonts w:cs="Arial"/>
          <w:sz w:val="20"/>
          <w:szCs w:val="20"/>
        </w:rPr>
        <w:t>Cociente albúmina/creatinina &gt; 300 mg/g, equivalente a proteinuria &gt; 300 mg/24 horas.</w:t>
      </w:r>
    </w:p>
    <w:p w:rsidR="00E81B3D" w:rsidRPr="00853A41" w:rsidRDefault="00E81B3D" w:rsidP="004B66EE">
      <w:pPr>
        <w:numPr>
          <w:ilvl w:val="0"/>
          <w:numId w:val="31"/>
        </w:numPr>
        <w:spacing w:before="120" w:after="120"/>
        <w:ind w:left="1418" w:hanging="284"/>
        <w:rPr>
          <w:rFonts w:cs="Arial"/>
          <w:b/>
          <w:sz w:val="20"/>
          <w:szCs w:val="20"/>
        </w:rPr>
      </w:pPr>
      <w:r w:rsidRPr="00853A41">
        <w:rPr>
          <w:rFonts w:cs="Arial"/>
          <w:b/>
          <w:sz w:val="20"/>
          <w:szCs w:val="20"/>
        </w:rPr>
        <w:t>Otros motivos:</w:t>
      </w:r>
    </w:p>
    <w:p w:rsidR="00E81B3D" w:rsidRPr="00705C12" w:rsidRDefault="00E81B3D" w:rsidP="00705C12">
      <w:pPr>
        <w:numPr>
          <w:ilvl w:val="1"/>
          <w:numId w:val="32"/>
        </w:numPr>
        <w:spacing w:before="120" w:after="120"/>
        <w:ind w:left="2268" w:hanging="283"/>
        <w:rPr>
          <w:rFonts w:cs="Arial"/>
          <w:sz w:val="20"/>
          <w:szCs w:val="20"/>
        </w:rPr>
      </w:pPr>
      <w:r w:rsidRPr="00705C12">
        <w:rPr>
          <w:rFonts w:cs="Arial"/>
          <w:sz w:val="20"/>
          <w:szCs w:val="20"/>
        </w:rPr>
        <w:t>Deterioro agudo en la función renal (caída del FGe &gt; 25 %) en menos de un mes descartados factores exógenos</w:t>
      </w:r>
      <w:r w:rsidR="009910AD">
        <w:rPr>
          <w:rFonts w:cs="Arial"/>
          <w:sz w:val="20"/>
          <w:szCs w:val="20"/>
        </w:rPr>
        <w:t xml:space="preserve"> </w:t>
      </w:r>
      <w:r w:rsidR="00981DFF">
        <w:rPr>
          <w:rFonts w:cs="Arial"/>
          <w:sz w:val="16"/>
          <w:szCs w:val="16"/>
        </w:rPr>
        <w:t>(</w:t>
      </w:r>
      <w:r w:rsidRPr="00705C12">
        <w:rPr>
          <w:rFonts w:cs="Arial"/>
          <w:sz w:val="16"/>
          <w:szCs w:val="16"/>
        </w:rPr>
        <w:t>diarrea, vómitos, depleción por diuréticos en tratamiento con IECAs o ARA II- o inhibidores directos de la renina).</w:t>
      </w:r>
    </w:p>
    <w:p w:rsidR="00E81B3D" w:rsidRPr="00705C12" w:rsidRDefault="00E81B3D" w:rsidP="00705C12">
      <w:pPr>
        <w:numPr>
          <w:ilvl w:val="1"/>
          <w:numId w:val="32"/>
        </w:numPr>
        <w:spacing w:before="120" w:after="120"/>
        <w:ind w:left="2268" w:hanging="283"/>
        <w:rPr>
          <w:rFonts w:cs="Arial"/>
          <w:sz w:val="20"/>
          <w:szCs w:val="20"/>
        </w:rPr>
      </w:pPr>
      <w:r w:rsidRPr="00705C12">
        <w:rPr>
          <w:rFonts w:cs="Arial"/>
          <w:sz w:val="20"/>
          <w:szCs w:val="20"/>
        </w:rPr>
        <w:t>Pacientes que presenten progresión renal (&gt; 5 ml/min/1.73m</w:t>
      </w:r>
      <w:r w:rsidRPr="00705C12">
        <w:rPr>
          <w:rFonts w:cs="Arial"/>
          <w:sz w:val="20"/>
          <w:szCs w:val="20"/>
          <w:vertAlign w:val="superscript"/>
        </w:rPr>
        <w:t>2</w:t>
      </w:r>
      <w:r w:rsidRPr="00705C12">
        <w:rPr>
          <w:rFonts w:cs="Arial"/>
          <w:sz w:val="20"/>
          <w:szCs w:val="20"/>
        </w:rPr>
        <w:t xml:space="preserve">/año) (ver definición en 2.1).ver arriba) </w:t>
      </w:r>
    </w:p>
    <w:p w:rsidR="00E81B3D" w:rsidRPr="00705C12" w:rsidRDefault="00E81B3D" w:rsidP="00705C12">
      <w:pPr>
        <w:numPr>
          <w:ilvl w:val="1"/>
          <w:numId w:val="32"/>
        </w:numPr>
        <w:spacing w:before="120" w:after="120"/>
        <w:ind w:left="2268" w:hanging="283"/>
        <w:rPr>
          <w:rFonts w:cs="Arial"/>
          <w:sz w:val="20"/>
          <w:szCs w:val="20"/>
        </w:rPr>
      </w:pPr>
      <w:r w:rsidRPr="00705C12">
        <w:rPr>
          <w:rFonts w:cs="Arial"/>
          <w:sz w:val="20"/>
          <w:szCs w:val="20"/>
        </w:rPr>
        <w:t>ERC e HTA resistente refractaria al tratamiento (&gt; 140/90 mmHg) con tres fármacos a plena dosis, uno de ellos diurético.</w:t>
      </w:r>
    </w:p>
    <w:p w:rsidR="00E81B3D" w:rsidRPr="00705C12" w:rsidRDefault="00E81B3D" w:rsidP="00705C12">
      <w:pPr>
        <w:numPr>
          <w:ilvl w:val="1"/>
          <w:numId w:val="32"/>
        </w:numPr>
        <w:spacing w:before="120" w:after="120"/>
        <w:ind w:left="2268" w:hanging="283"/>
        <w:rPr>
          <w:rFonts w:cs="Arial"/>
          <w:sz w:val="20"/>
          <w:szCs w:val="20"/>
        </w:rPr>
      </w:pPr>
      <w:r w:rsidRPr="00705C12">
        <w:rPr>
          <w:rFonts w:cs="Arial"/>
          <w:sz w:val="20"/>
          <w:szCs w:val="20"/>
        </w:rPr>
        <w:t>Alteraciones en la concentración sérica de potasio (&gt; 5,5 mmol/L o &lt; 3,5 mmol/L sin recibir diuréticos).</w:t>
      </w:r>
    </w:p>
    <w:p w:rsidR="00E81B3D" w:rsidRPr="00705C12" w:rsidRDefault="00E81B3D" w:rsidP="00705C12">
      <w:pPr>
        <w:numPr>
          <w:ilvl w:val="1"/>
          <w:numId w:val="32"/>
        </w:numPr>
        <w:spacing w:before="120" w:after="120"/>
        <w:ind w:left="2268" w:hanging="283"/>
        <w:rPr>
          <w:rFonts w:cs="Arial"/>
          <w:sz w:val="20"/>
          <w:szCs w:val="20"/>
        </w:rPr>
      </w:pPr>
      <w:r w:rsidRPr="00705C12">
        <w:rPr>
          <w:rFonts w:cs="Arial"/>
          <w:sz w:val="20"/>
          <w:szCs w:val="20"/>
        </w:rPr>
        <w:t>Anemia: Hb&lt; 10,5 g/dL con ERC a pesar de corregir ferropenia (índice de saturación de la transferrina -ISAT &gt; 20% y ferritina &gt; 100 ng/mL)</w:t>
      </w:r>
    </w:p>
    <w:p w:rsidR="00E81B3D" w:rsidRPr="00CE3260" w:rsidRDefault="00E81B3D" w:rsidP="004B66EE">
      <w:pPr>
        <w:numPr>
          <w:ilvl w:val="1"/>
          <w:numId w:val="32"/>
        </w:numPr>
        <w:spacing w:before="120" w:after="120"/>
        <w:ind w:left="2268" w:hanging="283"/>
        <w:rPr>
          <w:rFonts w:cs="Arial"/>
          <w:sz w:val="16"/>
          <w:szCs w:val="16"/>
        </w:rPr>
      </w:pPr>
      <w:r w:rsidRPr="00CE3260">
        <w:rPr>
          <w:rFonts w:cs="Arial"/>
          <w:sz w:val="20"/>
          <w:szCs w:val="20"/>
        </w:rPr>
        <w:t>Presencia de signos de alarma*:</w:t>
      </w:r>
    </w:p>
    <w:p w:rsidR="00E81B3D" w:rsidRPr="002944C1" w:rsidRDefault="00E81B3D" w:rsidP="002944C1">
      <w:pPr>
        <w:pStyle w:val="Prrafodelista"/>
        <w:numPr>
          <w:ilvl w:val="2"/>
          <w:numId w:val="32"/>
        </w:numPr>
        <w:spacing w:before="60" w:after="120"/>
        <w:rPr>
          <w:rFonts w:cs="Arial"/>
          <w:sz w:val="16"/>
          <w:szCs w:val="16"/>
        </w:rPr>
      </w:pPr>
      <w:r w:rsidRPr="002944C1">
        <w:rPr>
          <w:rFonts w:cs="Arial"/>
          <w:sz w:val="18"/>
          <w:szCs w:val="18"/>
        </w:rPr>
        <w:lastRenderedPageBreak/>
        <w:t xml:space="preserve">Presencia de hematuria no urológica asociada a proteinuria, </w:t>
      </w:r>
    </w:p>
    <w:p w:rsidR="00E81B3D" w:rsidRPr="002944C1" w:rsidRDefault="00E81B3D" w:rsidP="002944C1">
      <w:pPr>
        <w:pStyle w:val="Prrafodelista"/>
        <w:numPr>
          <w:ilvl w:val="2"/>
          <w:numId w:val="32"/>
        </w:numPr>
        <w:spacing w:before="60" w:after="120"/>
        <w:rPr>
          <w:rFonts w:cs="Arial"/>
          <w:sz w:val="16"/>
          <w:szCs w:val="16"/>
        </w:rPr>
      </w:pPr>
      <w:r w:rsidRPr="002944C1">
        <w:rPr>
          <w:rFonts w:cs="Arial"/>
          <w:sz w:val="18"/>
          <w:szCs w:val="16"/>
        </w:rPr>
        <w:t>Disminución del FGe &gt; 25 % en menos de un mes o un incremento de la creatinina sérica &gt;25% en menos de 1 mes, descartados factores exógenos</w:t>
      </w:r>
      <w:r w:rsidRPr="002944C1">
        <w:rPr>
          <w:rFonts w:cs="Arial"/>
          <w:sz w:val="20"/>
          <w:szCs w:val="20"/>
          <w:vertAlign w:val="superscript"/>
        </w:rPr>
        <w:t>#</w:t>
      </w:r>
      <w:r w:rsidRPr="002944C1">
        <w:rPr>
          <w:rFonts w:cs="Arial"/>
          <w:sz w:val="16"/>
          <w:szCs w:val="16"/>
        </w:rPr>
        <w:t>.</w:t>
      </w:r>
    </w:p>
    <w:p w:rsidR="00E81B3D" w:rsidRDefault="00E81B3D" w:rsidP="004B66EE">
      <w:pPr>
        <w:spacing w:before="120" w:after="120"/>
        <w:ind w:left="1843"/>
        <w:rPr>
          <w:rFonts w:cs="Arial"/>
          <w:sz w:val="20"/>
          <w:szCs w:val="20"/>
        </w:rPr>
      </w:pPr>
      <w:r>
        <w:rPr>
          <w:rFonts w:cs="Arial"/>
          <w:sz w:val="20"/>
          <w:szCs w:val="20"/>
        </w:rPr>
        <w:t xml:space="preserve">El </w:t>
      </w:r>
      <w:r w:rsidRPr="00B37B08">
        <w:rPr>
          <w:rFonts w:cs="Arial"/>
          <w:sz w:val="20"/>
          <w:szCs w:val="20"/>
        </w:rPr>
        <w:t>Seguimiento podrá ser en atención primaria</w:t>
      </w:r>
      <w:r>
        <w:rPr>
          <w:rFonts w:cs="Arial"/>
          <w:sz w:val="20"/>
          <w:szCs w:val="20"/>
        </w:rPr>
        <w:t xml:space="preserve"> o por especialistas, </w:t>
      </w:r>
      <w:r w:rsidRPr="00B37B08">
        <w:rPr>
          <w:rFonts w:cs="Arial"/>
          <w:sz w:val="20"/>
          <w:szCs w:val="20"/>
        </w:rPr>
        <w:t>o conjunt</w:t>
      </w:r>
      <w:r>
        <w:rPr>
          <w:rFonts w:cs="Arial"/>
          <w:sz w:val="20"/>
          <w:szCs w:val="20"/>
        </w:rPr>
        <w:t>amente con Nefrologia</w:t>
      </w:r>
      <w:r w:rsidRPr="00B37B08">
        <w:rPr>
          <w:rFonts w:cs="Arial"/>
          <w:sz w:val="20"/>
          <w:szCs w:val="20"/>
        </w:rPr>
        <w:t>, según los casos.</w:t>
      </w:r>
    </w:p>
    <w:p w:rsidR="00E81B3D" w:rsidRDefault="00E81B3D" w:rsidP="002944C1">
      <w:pPr>
        <w:spacing w:before="120" w:after="120"/>
        <w:ind w:left="284" w:firstLine="709"/>
        <w:rPr>
          <w:rFonts w:cs="Arial"/>
          <w:b/>
          <w:sz w:val="20"/>
          <w:szCs w:val="20"/>
        </w:rPr>
      </w:pPr>
      <w:r w:rsidRPr="006D540E">
        <w:rPr>
          <w:rFonts w:cs="Arial"/>
          <w:b/>
          <w:sz w:val="20"/>
          <w:szCs w:val="20"/>
        </w:rPr>
        <w:t xml:space="preserve">En el caso de pacientes </w:t>
      </w:r>
      <w:r>
        <w:rPr>
          <w:rFonts w:cs="Arial"/>
          <w:b/>
          <w:sz w:val="20"/>
          <w:szCs w:val="20"/>
        </w:rPr>
        <w:t>ancianos (&gt; 80 años)</w:t>
      </w:r>
    </w:p>
    <w:p w:rsidR="00E81B3D" w:rsidRDefault="00E81B3D" w:rsidP="002944C1">
      <w:pPr>
        <w:numPr>
          <w:ilvl w:val="0"/>
          <w:numId w:val="31"/>
        </w:numPr>
        <w:spacing w:before="120" w:after="120"/>
        <w:rPr>
          <w:rFonts w:cs="Arial"/>
          <w:sz w:val="20"/>
          <w:szCs w:val="20"/>
        </w:rPr>
      </w:pPr>
      <w:r w:rsidRPr="00B37B08">
        <w:rPr>
          <w:rFonts w:cs="Arial"/>
          <w:sz w:val="20"/>
          <w:szCs w:val="20"/>
        </w:rPr>
        <w:t>Dado que la progresión de la enfermedad renal crónica en población anciana, es muy poco frecuente se puede aceptar que los</w:t>
      </w:r>
      <w:r>
        <w:rPr>
          <w:rFonts w:cs="Arial"/>
          <w:sz w:val="20"/>
          <w:szCs w:val="20"/>
        </w:rPr>
        <w:t xml:space="preserve"> </w:t>
      </w:r>
      <w:r w:rsidRPr="00B37B08">
        <w:rPr>
          <w:rFonts w:cs="Arial"/>
          <w:sz w:val="20"/>
          <w:szCs w:val="20"/>
        </w:rPr>
        <w:t>pacientes mayores de 80 años</w:t>
      </w:r>
      <w:r>
        <w:rPr>
          <w:rFonts w:cs="Arial"/>
          <w:sz w:val="20"/>
          <w:szCs w:val="20"/>
        </w:rPr>
        <w:t xml:space="preserve"> </w:t>
      </w:r>
      <w:r w:rsidRPr="00B37B08">
        <w:rPr>
          <w:rFonts w:cs="Arial"/>
          <w:sz w:val="20"/>
          <w:szCs w:val="20"/>
        </w:rPr>
        <w:t>con función renal estable</w:t>
      </w:r>
      <w:r>
        <w:rPr>
          <w:rFonts w:cs="Arial"/>
          <w:sz w:val="20"/>
          <w:szCs w:val="20"/>
        </w:rPr>
        <w:t xml:space="preserve"> </w:t>
      </w:r>
      <w:r w:rsidRPr="00B37B08">
        <w:rPr>
          <w:rFonts w:cs="Arial"/>
          <w:sz w:val="20"/>
          <w:szCs w:val="20"/>
        </w:rPr>
        <w:t>o con lento deterioro de la misma (</w:t>
      </w:r>
      <w:r>
        <w:rPr>
          <w:rFonts w:cs="Arial"/>
          <w:sz w:val="20"/>
          <w:szCs w:val="20"/>
        </w:rPr>
        <w:t xml:space="preserve">&lt; </w:t>
      </w:r>
      <w:r w:rsidRPr="00705C12">
        <w:rPr>
          <w:rFonts w:cs="Arial"/>
          <w:sz w:val="20"/>
          <w:szCs w:val="20"/>
        </w:rPr>
        <w:t>5 ml/min/1.73m</w:t>
      </w:r>
      <w:r w:rsidRPr="00705C12">
        <w:rPr>
          <w:rFonts w:cs="Arial"/>
          <w:sz w:val="20"/>
          <w:szCs w:val="20"/>
          <w:vertAlign w:val="superscript"/>
        </w:rPr>
        <w:t>2</w:t>
      </w:r>
      <w:r w:rsidRPr="00705C12">
        <w:rPr>
          <w:rFonts w:cs="Arial"/>
          <w:sz w:val="20"/>
          <w:szCs w:val="20"/>
        </w:rPr>
        <w:t>/año)  si</w:t>
      </w:r>
      <w:r w:rsidRPr="00B37B08">
        <w:rPr>
          <w:rFonts w:cs="Arial"/>
          <w:sz w:val="20"/>
          <w:szCs w:val="20"/>
        </w:rPr>
        <w:t xml:space="preserve">n proteinuria, </w:t>
      </w:r>
      <w:r>
        <w:rPr>
          <w:rFonts w:cs="Arial"/>
          <w:sz w:val="20"/>
          <w:szCs w:val="20"/>
        </w:rPr>
        <w:t xml:space="preserve">ni </w:t>
      </w:r>
      <w:r w:rsidRPr="00B37B08">
        <w:rPr>
          <w:rFonts w:cs="Arial"/>
          <w:sz w:val="20"/>
          <w:szCs w:val="20"/>
        </w:rPr>
        <w:t xml:space="preserve">anemia </w:t>
      </w:r>
      <w:r>
        <w:rPr>
          <w:rFonts w:cs="Arial"/>
          <w:sz w:val="20"/>
          <w:szCs w:val="20"/>
        </w:rPr>
        <w:t>o</w:t>
      </w:r>
      <w:r w:rsidRPr="00B37B08">
        <w:rPr>
          <w:rFonts w:cs="Arial"/>
          <w:sz w:val="20"/>
          <w:szCs w:val="20"/>
        </w:rPr>
        <w:t xml:space="preserve"> signos de alarma</w:t>
      </w:r>
      <w:r>
        <w:rPr>
          <w:rFonts w:cs="Arial"/>
          <w:sz w:val="20"/>
          <w:szCs w:val="20"/>
        </w:rPr>
        <w:t>,</w:t>
      </w:r>
      <w:r w:rsidRPr="00B37B08">
        <w:rPr>
          <w:rFonts w:cs="Arial"/>
          <w:sz w:val="20"/>
          <w:szCs w:val="20"/>
        </w:rPr>
        <w:t xml:space="preserve"> pueden </w:t>
      </w:r>
      <w:r>
        <w:rPr>
          <w:rFonts w:cs="Arial"/>
          <w:sz w:val="20"/>
          <w:szCs w:val="20"/>
        </w:rPr>
        <w:t xml:space="preserve">llevar seguimiento </w:t>
      </w:r>
      <w:r w:rsidRPr="00B37B08">
        <w:rPr>
          <w:rFonts w:cs="Arial"/>
          <w:sz w:val="20"/>
          <w:szCs w:val="20"/>
        </w:rPr>
        <w:t>con actitud conservadora</w:t>
      </w:r>
      <w:r>
        <w:rPr>
          <w:rFonts w:cs="Arial"/>
          <w:sz w:val="20"/>
          <w:szCs w:val="20"/>
        </w:rPr>
        <w:t xml:space="preserve"> </w:t>
      </w:r>
      <w:r w:rsidRPr="00B37B08">
        <w:rPr>
          <w:rFonts w:cs="Arial"/>
          <w:sz w:val="20"/>
          <w:szCs w:val="20"/>
        </w:rPr>
        <w:t xml:space="preserve">en </w:t>
      </w:r>
      <w:r>
        <w:rPr>
          <w:rFonts w:cs="Arial"/>
          <w:sz w:val="20"/>
          <w:szCs w:val="20"/>
        </w:rPr>
        <w:t>atención primaria</w:t>
      </w:r>
      <w:r>
        <w:rPr>
          <w:rStyle w:val="Refdenotaalfinal"/>
          <w:sz w:val="20"/>
          <w:szCs w:val="20"/>
        </w:rPr>
        <w:endnoteReference w:id="67"/>
      </w:r>
      <w:r>
        <w:rPr>
          <w:rFonts w:cs="Arial"/>
          <w:sz w:val="20"/>
          <w:szCs w:val="20"/>
        </w:rPr>
        <w:t>.</w:t>
      </w:r>
    </w:p>
    <w:p w:rsidR="00E81B3D" w:rsidRPr="000C1987" w:rsidRDefault="00E81B3D" w:rsidP="002944C1">
      <w:pPr>
        <w:numPr>
          <w:ilvl w:val="0"/>
          <w:numId w:val="31"/>
        </w:numPr>
        <w:spacing w:before="120" w:after="120"/>
        <w:rPr>
          <w:rFonts w:cs="Arial"/>
          <w:sz w:val="20"/>
          <w:szCs w:val="20"/>
        </w:rPr>
      </w:pPr>
      <w:r w:rsidRPr="00B37B08">
        <w:rPr>
          <w:rFonts w:cs="Arial"/>
          <w:sz w:val="20"/>
          <w:szCs w:val="20"/>
        </w:rPr>
        <w:t>En el mismo sentido pacientes ancianos con ERC estadio 5 con expectativa de vida corta</w:t>
      </w:r>
      <w:r>
        <w:rPr>
          <w:rFonts w:cs="Arial"/>
          <w:sz w:val="20"/>
          <w:szCs w:val="20"/>
        </w:rPr>
        <w:t xml:space="preserve"> </w:t>
      </w:r>
      <w:r w:rsidRPr="00B37B08">
        <w:rPr>
          <w:rFonts w:cs="Arial"/>
          <w:sz w:val="20"/>
          <w:szCs w:val="20"/>
        </w:rPr>
        <w:t>(&lt; 6 meses) mala situación funcional</w:t>
      </w:r>
      <w:r>
        <w:rPr>
          <w:rFonts w:cs="Arial"/>
          <w:sz w:val="20"/>
          <w:szCs w:val="20"/>
        </w:rPr>
        <w:t xml:space="preserve"> </w:t>
      </w:r>
      <w:r w:rsidRPr="00B37B08">
        <w:rPr>
          <w:rFonts w:cs="Arial"/>
          <w:sz w:val="20"/>
          <w:szCs w:val="20"/>
        </w:rPr>
        <w:t xml:space="preserve">(dependencia de las </w:t>
      </w:r>
      <w:r>
        <w:rPr>
          <w:rFonts w:cs="Arial"/>
          <w:sz w:val="20"/>
          <w:szCs w:val="20"/>
        </w:rPr>
        <w:t>actividades de la vida diaria</w:t>
      </w:r>
      <w:r w:rsidRPr="00B37B08">
        <w:rPr>
          <w:rFonts w:cs="Arial"/>
          <w:sz w:val="20"/>
          <w:szCs w:val="20"/>
        </w:rPr>
        <w:t>, demencia,..)</w:t>
      </w:r>
      <w:r>
        <w:rPr>
          <w:rFonts w:cs="Arial"/>
          <w:sz w:val="20"/>
          <w:szCs w:val="20"/>
        </w:rPr>
        <w:t xml:space="preserve">, </w:t>
      </w:r>
      <w:r w:rsidRPr="00B37B08">
        <w:rPr>
          <w:rFonts w:cs="Arial"/>
          <w:sz w:val="20"/>
          <w:szCs w:val="20"/>
        </w:rPr>
        <w:t>comorbilidad asociada grave</w:t>
      </w:r>
      <w:r>
        <w:rPr>
          <w:rFonts w:cs="Arial"/>
          <w:sz w:val="20"/>
          <w:szCs w:val="20"/>
        </w:rPr>
        <w:t xml:space="preserve"> </w:t>
      </w:r>
      <w:r w:rsidRPr="00B37B08">
        <w:rPr>
          <w:rFonts w:cs="Arial"/>
          <w:sz w:val="20"/>
          <w:szCs w:val="20"/>
        </w:rPr>
        <w:t xml:space="preserve">o que no acepten diálisis podrán ser subsidiarios de tratamiento paliativo bien en </w:t>
      </w:r>
      <w:r w:rsidRPr="00B6591E">
        <w:rPr>
          <w:rFonts w:cs="Arial"/>
          <w:sz w:val="20"/>
          <w:szCs w:val="20"/>
        </w:rPr>
        <w:t>atención primaria</w:t>
      </w:r>
      <w:r w:rsidRPr="00B37B08">
        <w:rPr>
          <w:rFonts w:cs="Arial"/>
          <w:sz w:val="20"/>
          <w:szCs w:val="20"/>
        </w:rPr>
        <w:t xml:space="preserve"> o compartido con </w:t>
      </w:r>
      <w:r>
        <w:rPr>
          <w:rFonts w:cs="Arial"/>
          <w:sz w:val="20"/>
          <w:szCs w:val="20"/>
        </w:rPr>
        <w:t>N</w:t>
      </w:r>
      <w:r w:rsidRPr="00B37B08">
        <w:rPr>
          <w:rFonts w:cs="Arial"/>
          <w:sz w:val="20"/>
          <w:szCs w:val="20"/>
        </w:rPr>
        <w:t>efrología</w:t>
      </w:r>
      <w:r>
        <w:rPr>
          <w:rStyle w:val="Refdenotaalfinal"/>
          <w:sz w:val="20"/>
          <w:szCs w:val="20"/>
        </w:rPr>
        <w:endnoteReference w:id="68"/>
      </w:r>
      <w:r>
        <w:rPr>
          <w:rFonts w:cs="Arial"/>
          <w:sz w:val="20"/>
          <w:szCs w:val="20"/>
        </w:rPr>
        <w:t>.</w:t>
      </w:r>
    </w:p>
    <w:p w:rsidR="00E81B3D" w:rsidRDefault="00E81B3D" w:rsidP="002944C1">
      <w:pPr>
        <w:spacing w:before="120" w:after="120"/>
        <w:ind w:left="993"/>
        <w:rPr>
          <w:rFonts w:cs="Arial"/>
          <w:sz w:val="20"/>
          <w:szCs w:val="20"/>
        </w:rPr>
      </w:pPr>
      <w:r w:rsidRPr="0049306A">
        <w:rPr>
          <w:rFonts w:cs="Arial"/>
          <w:b/>
          <w:sz w:val="20"/>
          <w:szCs w:val="20"/>
        </w:rPr>
        <w:t>En el caso de pacientes con DM</w:t>
      </w:r>
      <w:r w:rsidRPr="0040051A">
        <w:rPr>
          <w:rFonts w:cs="Arial"/>
          <w:sz w:val="20"/>
          <w:szCs w:val="20"/>
        </w:rPr>
        <w:t xml:space="preserve"> la </w:t>
      </w:r>
      <w:r w:rsidRPr="00887BE6">
        <w:rPr>
          <w:rFonts w:cs="Arial"/>
          <w:sz w:val="20"/>
          <w:szCs w:val="20"/>
        </w:rPr>
        <w:t xml:space="preserve">derivación a Nefrología se realizará siguiendo los mismos criterios que en los no diabéticos. </w:t>
      </w:r>
      <w:bookmarkStart w:id="28" w:name="_Toc316486463"/>
      <w:bookmarkStart w:id="29" w:name="_Toc316486562"/>
    </w:p>
    <w:p w:rsidR="00E81B3D" w:rsidRDefault="00E81B3D" w:rsidP="002944C1">
      <w:pPr>
        <w:spacing w:before="120" w:after="120"/>
        <w:ind w:left="993"/>
        <w:rPr>
          <w:rFonts w:cs="Arial"/>
          <w:b/>
          <w:sz w:val="20"/>
          <w:szCs w:val="20"/>
        </w:rPr>
      </w:pPr>
      <w:r>
        <w:rPr>
          <w:rFonts w:cs="Arial"/>
          <w:b/>
          <w:sz w:val="20"/>
          <w:szCs w:val="20"/>
        </w:rPr>
        <w:t>Indicaciones de solicitud de e</w:t>
      </w:r>
      <w:r w:rsidRPr="004D44F4">
        <w:rPr>
          <w:rFonts w:cs="Arial"/>
          <w:b/>
          <w:sz w:val="20"/>
          <w:szCs w:val="20"/>
        </w:rPr>
        <w:t>cografía</w:t>
      </w:r>
      <w:r>
        <w:rPr>
          <w:rFonts w:cs="Arial"/>
          <w:b/>
          <w:sz w:val="20"/>
          <w:szCs w:val="20"/>
        </w:rPr>
        <w:t xml:space="preserve"> desde atención primaria</w:t>
      </w:r>
    </w:p>
    <w:p w:rsidR="00E81B3D" w:rsidRDefault="00E81B3D" w:rsidP="002944C1">
      <w:pPr>
        <w:spacing w:before="120" w:after="120"/>
        <w:ind w:left="993"/>
        <w:rPr>
          <w:rFonts w:cs="Arial"/>
          <w:sz w:val="20"/>
          <w:szCs w:val="20"/>
        </w:rPr>
      </w:pPr>
      <w:r w:rsidRPr="00F61162">
        <w:rPr>
          <w:rFonts w:cs="Arial"/>
          <w:sz w:val="20"/>
          <w:szCs w:val="20"/>
        </w:rPr>
        <w:t>Bien para su seguimiento en atención</w:t>
      </w:r>
      <w:r>
        <w:rPr>
          <w:rFonts w:cs="Arial"/>
          <w:sz w:val="20"/>
          <w:szCs w:val="20"/>
        </w:rPr>
        <w:t xml:space="preserve"> </w:t>
      </w:r>
      <w:r w:rsidRPr="00F61162">
        <w:rPr>
          <w:rFonts w:cs="Arial"/>
          <w:sz w:val="20"/>
          <w:szCs w:val="20"/>
        </w:rPr>
        <w:t>primaria o para su derivación a nefrología, se consid</w:t>
      </w:r>
      <w:r>
        <w:rPr>
          <w:rFonts w:cs="Arial"/>
          <w:sz w:val="20"/>
          <w:szCs w:val="20"/>
        </w:rPr>
        <w:t>era pertinente la solicitud de e</w:t>
      </w:r>
      <w:r w:rsidRPr="00F61162">
        <w:rPr>
          <w:rFonts w:cs="Arial"/>
          <w:sz w:val="20"/>
          <w:szCs w:val="20"/>
        </w:rPr>
        <w:t>cografía en el estudio diagnóstico de la ERC. Sus indicaciones son:</w:t>
      </w:r>
    </w:p>
    <w:p w:rsidR="00E81B3D" w:rsidRPr="00F61162" w:rsidRDefault="00E81B3D" w:rsidP="002944C1">
      <w:pPr>
        <w:numPr>
          <w:ilvl w:val="1"/>
          <w:numId w:val="29"/>
        </w:numPr>
        <w:spacing w:before="120" w:after="120"/>
        <w:ind w:left="1418" w:hanging="284"/>
        <w:rPr>
          <w:rFonts w:cs="Arial"/>
          <w:sz w:val="20"/>
          <w:szCs w:val="20"/>
        </w:rPr>
      </w:pPr>
      <w:r w:rsidRPr="00F61162">
        <w:rPr>
          <w:rFonts w:cs="Arial"/>
          <w:sz w:val="20"/>
          <w:szCs w:val="20"/>
        </w:rPr>
        <w:t>ERC progresiva (dismi</w:t>
      </w:r>
      <w:r>
        <w:rPr>
          <w:rFonts w:cs="Arial"/>
          <w:sz w:val="20"/>
          <w:szCs w:val="20"/>
        </w:rPr>
        <w:t>nución del FGe&gt;5 ml/min/1,73 m</w:t>
      </w:r>
      <w:r w:rsidRPr="00F61162">
        <w:rPr>
          <w:rFonts w:cs="Arial"/>
          <w:sz w:val="20"/>
          <w:szCs w:val="20"/>
          <w:vertAlign w:val="superscript"/>
        </w:rPr>
        <w:t>2</w:t>
      </w:r>
      <w:r w:rsidRPr="00F61162">
        <w:rPr>
          <w:rFonts w:cs="Arial"/>
          <w:sz w:val="20"/>
          <w:szCs w:val="20"/>
        </w:rPr>
        <w:t xml:space="preserve"> en un año.</w:t>
      </w:r>
    </w:p>
    <w:p w:rsidR="00E81B3D" w:rsidRPr="00E914FB" w:rsidRDefault="00E81B3D" w:rsidP="002944C1">
      <w:pPr>
        <w:numPr>
          <w:ilvl w:val="1"/>
          <w:numId w:val="29"/>
        </w:numPr>
        <w:spacing w:before="120" w:after="120"/>
        <w:ind w:left="1418" w:hanging="284"/>
        <w:rPr>
          <w:rFonts w:cs="Arial"/>
          <w:sz w:val="20"/>
          <w:szCs w:val="20"/>
          <w:lang w:val="pt-BR"/>
        </w:rPr>
      </w:pPr>
      <w:r>
        <w:rPr>
          <w:rFonts w:cs="Arial"/>
          <w:sz w:val="20"/>
          <w:szCs w:val="20"/>
          <w:lang w:val="pt-BR"/>
        </w:rPr>
        <w:t xml:space="preserve">Hematuria macroscópica o </w:t>
      </w:r>
      <w:r w:rsidRPr="00E914FB">
        <w:rPr>
          <w:rFonts w:cs="Arial"/>
          <w:sz w:val="20"/>
          <w:szCs w:val="20"/>
          <w:lang w:val="pt-BR"/>
        </w:rPr>
        <w:t>albuminuria persistente.</w:t>
      </w:r>
    </w:p>
    <w:p w:rsidR="00E81B3D" w:rsidRPr="00F61162" w:rsidRDefault="00E81B3D" w:rsidP="002944C1">
      <w:pPr>
        <w:numPr>
          <w:ilvl w:val="1"/>
          <w:numId w:val="29"/>
        </w:numPr>
        <w:spacing w:before="120" w:after="120"/>
        <w:ind w:left="1418" w:hanging="284"/>
        <w:rPr>
          <w:rFonts w:cs="Arial"/>
          <w:sz w:val="20"/>
          <w:szCs w:val="20"/>
        </w:rPr>
      </w:pPr>
      <w:r w:rsidRPr="00F61162">
        <w:rPr>
          <w:rFonts w:cs="Arial"/>
          <w:sz w:val="20"/>
          <w:szCs w:val="20"/>
        </w:rPr>
        <w:t>Sintomatología de obstrucción del tracto urinario.</w:t>
      </w:r>
    </w:p>
    <w:p w:rsidR="00E81B3D" w:rsidRPr="00F61162" w:rsidRDefault="00E81B3D" w:rsidP="002944C1">
      <w:pPr>
        <w:numPr>
          <w:ilvl w:val="1"/>
          <w:numId w:val="29"/>
        </w:numPr>
        <w:spacing w:before="120" w:after="120"/>
        <w:ind w:left="1418" w:hanging="284"/>
        <w:rPr>
          <w:rFonts w:cs="Arial"/>
          <w:sz w:val="20"/>
          <w:szCs w:val="20"/>
        </w:rPr>
      </w:pPr>
      <w:r w:rsidRPr="00F61162">
        <w:rPr>
          <w:rFonts w:cs="Arial"/>
          <w:sz w:val="20"/>
          <w:szCs w:val="20"/>
        </w:rPr>
        <w:t>Edad&gt;15 años e historia familiar de riñones poliquísticos.</w:t>
      </w:r>
    </w:p>
    <w:p w:rsidR="00E81B3D" w:rsidRPr="00F61162" w:rsidRDefault="00E81B3D" w:rsidP="002944C1">
      <w:pPr>
        <w:numPr>
          <w:ilvl w:val="1"/>
          <w:numId w:val="29"/>
        </w:numPr>
        <w:spacing w:before="120" w:after="120"/>
        <w:ind w:left="1418" w:hanging="284"/>
        <w:rPr>
          <w:rFonts w:cs="Arial"/>
          <w:sz w:val="20"/>
          <w:szCs w:val="20"/>
        </w:rPr>
      </w:pPr>
      <w:r w:rsidRPr="00F61162">
        <w:rPr>
          <w:rFonts w:cs="Arial"/>
          <w:sz w:val="20"/>
          <w:szCs w:val="20"/>
        </w:rPr>
        <w:t>Estadio 4 o 5.Valorar previamente comorbilidades asociadas</w:t>
      </w:r>
    </w:p>
    <w:p w:rsidR="00E81B3D" w:rsidRPr="00F61162" w:rsidRDefault="00E81B3D" w:rsidP="002944C1">
      <w:pPr>
        <w:numPr>
          <w:ilvl w:val="1"/>
          <w:numId w:val="29"/>
        </w:numPr>
        <w:spacing w:before="120" w:after="120"/>
        <w:ind w:left="1418" w:hanging="284"/>
        <w:rPr>
          <w:rFonts w:cs="Arial"/>
          <w:sz w:val="20"/>
          <w:szCs w:val="20"/>
        </w:rPr>
      </w:pPr>
      <w:r w:rsidRPr="00F61162">
        <w:rPr>
          <w:rFonts w:cs="Arial"/>
          <w:sz w:val="20"/>
          <w:szCs w:val="20"/>
        </w:rPr>
        <w:t>ERC con proteinuria</w:t>
      </w:r>
    </w:p>
    <w:p w:rsidR="00E81B3D" w:rsidRDefault="00E81B3D" w:rsidP="002944C1">
      <w:pPr>
        <w:spacing w:before="120" w:after="120"/>
        <w:ind w:left="993"/>
        <w:rPr>
          <w:rFonts w:cs="Arial"/>
          <w:sz w:val="20"/>
          <w:szCs w:val="20"/>
        </w:rPr>
      </w:pPr>
      <w:r w:rsidRPr="00F61162">
        <w:rPr>
          <w:rFonts w:cs="Arial"/>
          <w:sz w:val="20"/>
          <w:szCs w:val="20"/>
        </w:rPr>
        <w:t>Infecciones urinarias de repetición con participación renal</w:t>
      </w:r>
    </w:p>
    <w:p w:rsidR="00651852" w:rsidRDefault="00651852" w:rsidP="00904912">
      <w:pPr>
        <w:spacing w:before="120" w:after="120"/>
        <w:ind w:left="1560"/>
        <w:jc w:val="left"/>
        <w:rPr>
          <w:rFonts w:cs="Arial"/>
          <w:b/>
          <w:sz w:val="18"/>
          <w:szCs w:val="18"/>
        </w:rPr>
      </w:pPr>
    </w:p>
    <w:p w:rsidR="00E81B3D" w:rsidRPr="00904912" w:rsidRDefault="00E81B3D" w:rsidP="00904912">
      <w:pPr>
        <w:spacing w:before="120" w:after="120"/>
        <w:ind w:left="1560"/>
        <w:jc w:val="left"/>
        <w:rPr>
          <w:rFonts w:cs="Arial"/>
          <w:b/>
          <w:color w:val="000090"/>
          <w:sz w:val="18"/>
          <w:szCs w:val="18"/>
        </w:rPr>
      </w:pPr>
      <w:r w:rsidRPr="00904912">
        <w:rPr>
          <w:rFonts w:cs="Arial"/>
          <w:b/>
          <w:sz w:val="18"/>
          <w:szCs w:val="18"/>
        </w:rPr>
        <w:t>Figura 2. ALGORITMO DE DERIVACIÓN A NEFROLOGÍA</w:t>
      </w:r>
    </w:p>
    <w:p w:rsidR="00E81B3D" w:rsidRDefault="00651852" w:rsidP="00260D0A">
      <w:pPr>
        <w:spacing w:before="120" w:after="120"/>
        <w:ind w:left="1560"/>
      </w:pPr>
      <w:r>
        <w:object w:dxaOrig="11953" w:dyaOrig="10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77.5pt" o:ole="">
            <v:imagedata r:id="rId25" o:title=""/>
          </v:shape>
          <o:OLEObject Type="Embed" ProgID="Visio.Drawing.11" ShapeID="_x0000_i1025" DrawAspect="Content" ObjectID="_1424097955" r:id="rId26"/>
        </w:object>
      </w:r>
    </w:p>
    <w:p w:rsidR="00E81B3D" w:rsidRPr="00445221" w:rsidRDefault="00E81B3D" w:rsidP="00904912">
      <w:pPr>
        <w:spacing w:before="120" w:after="120"/>
        <w:ind w:left="993"/>
        <w:jc w:val="left"/>
        <w:rPr>
          <w:sz w:val="18"/>
          <w:szCs w:val="18"/>
        </w:rPr>
      </w:pPr>
      <w:r w:rsidRPr="00445221">
        <w:rPr>
          <w:rFonts w:cs="Arial"/>
          <w:b/>
          <w:sz w:val="18"/>
          <w:szCs w:val="18"/>
        </w:rPr>
        <w:lastRenderedPageBreak/>
        <w:t>Tabla 8.</w:t>
      </w:r>
    </w:p>
    <w:tbl>
      <w:tblPr>
        <w:tblW w:w="9014" w:type="dxa"/>
        <w:jc w:val="center"/>
        <w:tblCellMar>
          <w:left w:w="0" w:type="dxa"/>
          <w:right w:w="0" w:type="dxa"/>
        </w:tblCellMar>
        <w:tblLook w:val="00A0"/>
      </w:tblPr>
      <w:tblGrid>
        <w:gridCol w:w="1084"/>
        <w:gridCol w:w="1878"/>
        <w:gridCol w:w="2083"/>
        <w:gridCol w:w="1842"/>
        <w:gridCol w:w="2127"/>
      </w:tblGrid>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rPr>
                <w:sz w:val="16"/>
              </w:rPr>
            </w:pP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rPr>
                <w:sz w:val="16"/>
              </w:rPr>
            </w:pPr>
          </w:p>
        </w:tc>
        <w:tc>
          <w:tcPr>
            <w:tcW w:w="6052" w:type="dxa"/>
            <w:gridSpan w:val="3"/>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Estadio de albuminuria</w:t>
            </w:r>
          </w:p>
        </w:tc>
      </w:tr>
      <w:tr w:rsidR="00E81B3D" w:rsidRPr="00B63F1B" w:rsidTr="00D83695">
        <w:trPr>
          <w:trHeight w:val="529"/>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Estadio ERC</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FGe (ml/min/1,73 m</w:t>
            </w:r>
            <w:r w:rsidRPr="00B63F1B">
              <w:rPr>
                <w:b/>
                <w:bCs/>
                <w:sz w:val="16"/>
                <w:vertAlign w:val="superscript"/>
              </w:rPr>
              <w:t>2</w:t>
            </w:r>
            <w:r w:rsidRPr="00B63F1B">
              <w:rPr>
                <w:b/>
                <w:bCs/>
                <w:sz w:val="16"/>
              </w:rPr>
              <w:t>)</w:t>
            </w:r>
          </w:p>
        </w:tc>
        <w:tc>
          <w:tcPr>
            <w:tcW w:w="2083"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Normal</w:t>
            </w:r>
          </w:p>
          <w:p w:rsidR="00E81B3D" w:rsidRPr="00B63F1B" w:rsidRDefault="00E81B3D" w:rsidP="00B63F1B">
            <w:pPr>
              <w:jc w:val="center"/>
              <w:rPr>
                <w:sz w:val="16"/>
              </w:rPr>
            </w:pPr>
            <w:r w:rsidRPr="00B63F1B">
              <w:rPr>
                <w:b/>
                <w:bCs/>
                <w:sz w:val="16"/>
              </w:rPr>
              <w:t>(&lt; 30 mg/g)</w:t>
            </w:r>
          </w:p>
        </w:tc>
        <w:tc>
          <w:tcPr>
            <w:tcW w:w="1842"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Albuminuria</w:t>
            </w:r>
          </w:p>
          <w:p w:rsidR="00E81B3D" w:rsidRPr="00B63F1B" w:rsidRDefault="00E81B3D" w:rsidP="00B63F1B">
            <w:pPr>
              <w:jc w:val="center"/>
              <w:rPr>
                <w:sz w:val="16"/>
              </w:rPr>
            </w:pPr>
            <w:r w:rsidRPr="00B63F1B">
              <w:rPr>
                <w:b/>
                <w:bCs/>
                <w:sz w:val="16"/>
              </w:rPr>
              <w:t>(30-300 mg/g)</w:t>
            </w:r>
          </w:p>
        </w:tc>
        <w:tc>
          <w:tcPr>
            <w:tcW w:w="2127"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D8281B">
            <w:pPr>
              <w:jc w:val="center"/>
              <w:rPr>
                <w:sz w:val="16"/>
              </w:rPr>
            </w:pPr>
            <w:r>
              <w:rPr>
                <w:b/>
                <w:bCs/>
                <w:sz w:val="16"/>
              </w:rPr>
              <w:t>Proteinuria</w:t>
            </w:r>
            <w:r w:rsidRPr="00B63F1B">
              <w:rPr>
                <w:b/>
                <w:bCs/>
                <w:sz w:val="16"/>
              </w:rPr>
              <w:t xml:space="preserve"> (&gt; 300 mg/g)</w:t>
            </w: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1</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&gt; 90</w:t>
            </w:r>
          </w:p>
        </w:tc>
        <w:tc>
          <w:tcPr>
            <w:tcW w:w="2083"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D8281B">
            <w:pPr>
              <w:rPr>
                <w:sz w:val="16"/>
              </w:rPr>
            </w:pPr>
            <w:r w:rsidRPr="00B63F1B">
              <w:rPr>
                <w:sz w:val="16"/>
              </w:rPr>
              <w:t xml:space="preserve">No ERC </w:t>
            </w:r>
            <w:r>
              <w:rPr>
                <w:sz w:val="16"/>
              </w:rPr>
              <w:t xml:space="preserve">excepto si hay </w:t>
            </w:r>
            <w:r w:rsidRPr="00B63F1B">
              <w:rPr>
                <w:sz w:val="16"/>
              </w:rPr>
              <w:t>hematuria, alt</w:t>
            </w:r>
            <w:r>
              <w:rPr>
                <w:sz w:val="16"/>
              </w:rPr>
              <w:t xml:space="preserve">eración en </w:t>
            </w:r>
            <w:r w:rsidRPr="00B63F1B">
              <w:rPr>
                <w:sz w:val="16"/>
              </w:rPr>
              <w:t xml:space="preserve"> imagen o</w:t>
            </w:r>
            <w:r>
              <w:rPr>
                <w:sz w:val="16"/>
              </w:rPr>
              <w:t xml:space="preserve"> en la </w:t>
            </w:r>
            <w:r w:rsidRPr="00B63F1B">
              <w:rPr>
                <w:sz w:val="16"/>
              </w:rPr>
              <w:t xml:space="preserve"> anat</w:t>
            </w:r>
            <w:r>
              <w:rPr>
                <w:sz w:val="16"/>
              </w:rPr>
              <w:t>omía</w:t>
            </w:r>
            <w:r w:rsidRPr="00B63F1B">
              <w:rPr>
                <w:sz w:val="16"/>
              </w:rPr>
              <w:t xml:space="preserve"> patológica </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rPr>
                <w:sz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Pr>
          <w:p w:rsidR="00E81B3D" w:rsidRPr="00B63F1B" w:rsidRDefault="00E81B3D" w:rsidP="00B63F1B">
            <w:pPr>
              <w:jc w:val="center"/>
              <w:rPr>
                <w:sz w:val="18"/>
              </w:rPr>
            </w:pPr>
            <w:r w:rsidRPr="00B63F1B">
              <w:rPr>
                <w:b/>
                <w:bCs/>
                <w:sz w:val="18"/>
              </w:rPr>
              <w:t>2</w:t>
            </w:r>
          </w:p>
        </w:tc>
        <w:tc>
          <w:tcPr>
            <w:tcW w:w="1878" w:type="dxa"/>
            <w:tcBorders>
              <w:top w:val="single" w:sz="8" w:space="0" w:color="000000"/>
              <w:left w:val="single" w:sz="8" w:space="0" w:color="000000"/>
              <w:bottom w:val="single" w:sz="8" w:space="0" w:color="000000"/>
              <w:right w:val="single" w:sz="8" w:space="0" w:color="000000"/>
            </w:tcBorders>
          </w:tcPr>
          <w:p w:rsidR="00E81B3D" w:rsidRPr="00B63F1B" w:rsidRDefault="00E81B3D" w:rsidP="00B63F1B">
            <w:pPr>
              <w:jc w:val="center"/>
              <w:rPr>
                <w:sz w:val="18"/>
              </w:rPr>
            </w:pPr>
            <w:r w:rsidRPr="00B63F1B">
              <w:rPr>
                <w:b/>
                <w:bCs/>
                <w:sz w:val="18"/>
              </w:rPr>
              <w:t>60-89</w:t>
            </w:r>
          </w:p>
        </w:tc>
        <w:tc>
          <w:tcPr>
            <w:tcW w:w="2083" w:type="dxa"/>
            <w:vMerge/>
            <w:tcBorders>
              <w:top w:val="single" w:sz="8" w:space="0" w:color="000000"/>
              <w:left w:val="single" w:sz="8" w:space="0" w:color="000000"/>
              <w:bottom w:val="single" w:sz="8" w:space="0" w:color="000000"/>
              <w:right w:val="single" w:sz="8" w:space="0" w:color="000000"/>
            </w:tcBorders>
            <w:vAlign w:val="center"/>
          </w:tcPr>
          <w:p w:rsidR="00E81B3D" w:rsidRPr="00B63F1B" w:rsidRDefault="00E81B3D" w:rsidP="00B63F1B">
            <w:pPr>
              <w:rPr>
                <w:sz w:val="16"/>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rPr>
                <w:sz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w:t>
            </w:r>
            <w:r>
              <w:rPr>
                <w:b/>
                <w:bCs/>
                <w:sz w:val="18"/>
              </w:rPr>
              <w:t>ª</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45-59</w:t>
            </w:r>
          </w:p>
        </w:tc>
        <w:tc>
          <w:tcPr>
            <w:tcW w:w="2083"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rPr>
                <w:sz w:val="16"/>
              </w:rPr>
            </w:pPr>
          </w:p>
        </w:tc>
        <w:tc>
          <w:tcPr>
            <w:tcW w:w="1842" w:type="dxa"/>
            <w:tcBorders>
              <w:top w:val="single" w:sz="8" w:space="0" w:color="000000"/>
              <w:left w:val="single" w:sz="8" w:space="0" w:color="000000"/>
              <w:bottom w:val="single" w:sz="8" w:space="0" w:color="000000"/>
              <w:right w:val="single" w:sz="8" w:space="0" w:color="000000"/>
            </w:tcBorders>
            <w:shd w:val="clear" w:color="auto" w:fill="FF9900"/>
            <w:tcMar>
              <w:top w:w="10" w:type="dxa"/>
              <w:left w:w="83" w:type="dxa"/>
              <w:bottom w:w="0" w:type="dxa"/>
              <w:right w:w="83" w:type="dxa"/>
            </w:tcMar>
          </w:tcPr>
          <w:p w:rsidR="00E81B3D" w:rsidRPr="00B63F1B" w:rsidRDefault="00E81B3D" w:rsidP="00B63F1B">
            <w:pPr>
              <w:jc w:val="right"/>
              <w:rPr>
                <w:sz w:val="16"/>
              </w:rPr>
            </w:pPr>
            <w:r w:rsidRPr="00B63F1B">
              <w:rPr>
                <w:sz w:val="16"/>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3b</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30-44</w:t>
            </w:r>
          </w:p>
        </w:tc>
        <w:tc>
          <w:tcPr>
            <w:tcW w:w="2083" w:type="dxa"/>
            <w:tcBorders>
              <w:top w:val="single" w:sz="8" w:space="0" w:color="000000"/>
              <w:left w:val="single" w:sz="8" w:space="0" w:color="000000"/>
              <w:bottom w:val="single" w:sz="8" w:space="0" w:color="000000"/>
              <w:right w:val="single" w:sz="8" w:space="0" w:color="000000"/>
            </w:tcBorders>
            <w:shd w:val="clear" w:color="auto" w:fill="FF9900"/>
            <w:tcMar>
              <w:top w:w="10" w:type="dxa"/>
              <w:left w:w="83" w:type="dxa"/>
              <w:bottom w:w="0" w:type="dxa"/>
              <w:right w:w="83" w:type="dxa"/>
            </w:tcMar>
          </w:tcPr>
          <w:p w:rsidR="00E81B3D" w:rsidRPr="00B63F1B" w:rsidRDefault="00E81B3D" w:rsidP="00B63F1B">
            <w:pPr>
              <w:rPr>
                <w:sz w:val="16"/>
              </w:rPr>
            </w:pPr>
          </w:p>
        </w:tc>
        <w:tc>
          <w:tcPr>
            <w:tcW w:w="1842" w:type="dxa"/>
            <w:tcBorders>
              <w:top w:val="single" w:sz="8" w:space="0" w:color="000000"/>
              <w:left w:val="single" w:sz="8" w:space="0" w:color="000000"/>
              <w:bottom w:val="single" w:sz="8" w:space="0" w:color="000000"/>
              <w:right w:val="single" w:sz="8" w:space="0" w:color="000000"/>
            </w:tcBorders>
            <w:shd w:val="clear" w:color="auto" w:fill="FF9900"/>
            <w:tcMar>
              <w:top w:w="10" w:type="dxa"/>
              <w:left w:w="83" w:type="dxa"/>
              <w:bottom w:w="0" w:type="dxa"/>
              <w:right w:w="83" w:type="dxa"/>
            </w:tcMar>
          </w:tcPr>
          <w:p w:rsidR="00E81B3D" w:rsidRPr="00B63F1B" w:rsidRDefault="00E81B3D" w:rsidP="00B63F1B">
            <w:pPr>
              <w:rPr>
                <w:sz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4</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15-29</w:t>
            </w:r>
          </w:p>
        </w:tc>
        <w:tc>
          <w:tcPr>
            <w:tcW w:w="2083"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c>
          <w:tcPr>
            <w:tcW w:w="1842"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r w:rsidR="00E81B3D" w:rsidRPr="00B63F1B" w:rsidTr="00D83695">
        <w:trPr>
          <w:trHeight w:val="265"/>
          <w:jc w:val="center"/>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5</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&lt; 15</w:t>
            </w:r>
          </w:p>
        </w:tc>
        <w:tc>
          <w:tcPr>
            <w:tcW w:w="2083"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c>
          <w:tcPr>
            <w:tcW w:w="1842"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rPr>
                <w:sz w:val="16"/>
              </w:rPr>
            </w:pPr>
          </w:p>
        </w:tc>
      </w:tr>
    </w:tbl>
    <w:p w:rsidR="00E81B3D" w:rsidRDefault="00E81B3D" w:rsidP="00B63F1B"/>
    <w:p w:rsidR="00E81B3D" w:rsidRPr="003C0DE6" w:rsidRDefault="00E81B3D" w:rsidP="00B63F1B">
      <w:pPr>
        <w:rPr>
          <w:sz w:val="20"/>
          <w:szCs w:val="20"/>
        </w:rPr>
      </w:pPr>
      <w:r>
        <w:tab/>
      </w:r>
      <w:r w:rsidR="009D115B">
        <w:rPr>
          <w:noProof/>
        </w:rPr>
        <w:drawing>
          <wp:inline distT="0" distB="0" distL="0" distR="0">
            <wp:extent cx="238760" cy="163830"/>
            <wp:effectExtent l="19050" t="0" r="889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7"/>
                    <a:srcRect r="-433" b="-4294"/>
                    <a:stretch>
                      <a:fillRect/>
                    </a:stretch>
                  </pic:blipFill>
                  <pic:spPr bwMode="auto">
                    <a:xfrm>
                      <a:off x="0" y="0"/>
                      <a:ext cx="238760" cy="163830"/>
                    </a:xfrm>
                    <a:prstGeom prst="rect">
                      <a:avLst/>
                    </a:prstGeom>
                    <a:noFill/>
                    <a:ln w="9525">
                      <a:noFill/>
                      <a:miter lim="800000"/>
                      <a:headEnd/>
                      <a:tailEnd/>
                    </a:ln>
                  </pic:spPr>
                </pic:pic>
              </a:graphicData>
            </a:graphic>
          </wp:inline>
        </w:drawing>
      </w:r>
      <w:r>
        <w:tab/>
      </w:r>
      <w:r w:rsidRPr="003C0DE6">
        <w:rPr>
          <w:sz w:val="20"/>
          <w:szCs w:val="20"/>
        </w:rPr>
        <w:t>Remisión a Nefrologia</w:t>
      </w:r>
    </w:p>
    <w:p w:rsidR="00E81B3D" w:rsidRPr="003C0DE6" w:rsidRDefault="00E81B3D" w:rsidP="00B63F1B">
      <w:pPr>
        <w:rPr>
          <w:sz w:val="20"/>
          <w:szCs w:val="20"/>
        </w:rPr>
      </w:pPr>
      <w:r w:rsidRPr="003C0DE6">
        <w:rPr>
          <w:sz w:val="20"/>
          <w:szCs w:val="20"/>
        </w:rPr>
        <w:tab/>
      </w:r>
      <w:r w:rsidR="009D115B">
        <w:rPr>
          <w:noProof/>
          <w:sz w:val="20"/>
          <w:szCs w:val="20"/>
        </w:rPr>
        <w:drawing>
          <wp:inline distT="0" distB="0" distL="0" distR="0">
            <wp:extent cx="238760" cy="156845"/>
            <wp:effectExtent l="19050" t="0" r="889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8"/>
                    <a:srcRect r="-433" b="-4294"/>
                    <a:stretch>
                      <a:fillRect/>
                    </a:stretch>
                  </pic:blipFill>
                  <pic:spPr bwMode="auto">
                    <a:xfrm>
                      <a:off x="0" y="0"/>
                      <a:ext cx="238760" cy="156845"/>
                    </a:xfrm>
                    <a:prstGeom prst="rect">
                      <a:avLst/>
                    </a:prstGeom>
                    <a:noFill/>
                    <a:ln w="9525">
                      <a:noFill/>
                      <a:miter lim="800000"/>
                      <a:headEnd/>
                      <a:tailEnd/>
                    </a:ln>
                  </pic:spPr>
                </pic:pic>
              </a:graphicData>
            </a:graphic>
          </wp:inline>
        </w:drawing>
      </w:r>
      <w:r w:rsidRPr="003C0DE6">
        <w:rPr>
          <w:sz w:val="20"/>
          <w:szCs w:val="20"/>
        </w:rPr>
        <w:tab/>
        <w:t>Control por Atención primaria</w:t>
      </w:r>
    </w:p>
    <w:p w:rsidR="00E81B3D" w:rsidRPr="003C0DE6" w:rsidRDefault="00E81B3D" w:rsidP="002944C1">
      <w:pPr>
        <w:ind w:left="709" w:hanging="709"/>
        <w:rPr>
          <w:sz w:val="20"/>
          <w:szCs w:val="20"/>
        </w:rPr>
      </w:pPr>
      <w:r w:rsidRPr="003C0DE6">
        <w:rPr>
          <w:sz w:val="20"/>
          <w:szCs w:val="20"/>
        </w:rPr>
        <w:tab/>
      </w:r>
      <w:r w:rsidR="009D115B">
        <w:rPr>
          <w:noProof/>
          <w:sz w:val="20"/>
          <w:szCs w:val="20"/>
        </w:rPr>
        <w:drawing>
          <wp:inline distT="0" distB="0" distL="0" distR="0">
            <wp:extent cx="238760" cy="163830"/>
            <wp:effectExtent l="19050" t="0" r="889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9"/>
                    <a:srcRect r="-433" b="-4294"/>
                    <a:stretch>
                      <a:fillRect/>
                    </a:stretch>
                  </pic:blipFill>
                  <pic:spPr bwMode="auto">
                    <a:xfrm>
                      <a:off x="0" y="0"/>
                      <a:ext cx="238760" cy="163830"/>
                    </a:xfrm>
                    <a:prstGeom prst="rect">
                      <a:avLst/>
                    </a:prstGeom>
                    <a:noFill/>
                    <a:ln w="9525">
                      <a:noFill/>
                      <a:miter lim="800000"/>
                      <a:headEnd/>
                      <a:tailEnd/>
                    </a:ln>
                  </pic:spPr>
                </pic:pic>
              </a:graphicData>
            </a:graphic>
          </wp:inline>
        </w:drawing>
      </w:r>
      <w:r w:rsidRPr="003C0DE6">
        <w:rPr>
          <w:sz w:val="20"/>
          <w:szCs w:val="20"/>
        </w:rPr>
        <w:tab/>
        <w:t xml:space="preserve">*Control por atención primaria monitorizando con mayor frecuencia (cada 3-6 meses). Remitir a Nefrologia si presentan progresión en la albuminuria en dos controles consecutivos o cociente albúmina/creatinina cercano a 300 mg/g.  </w:t>
      </w:r>
    </w:p>
    <w:p w:rsidR="00E81B3D" w:rsidRPr="00805BDE" w:rsidRDefault="00E81B3D" w:rsidP="00B63F1B"/>
    <w:p w:rsidR="00E81B3D" w:rsidRPr="00200C58" w:rsidRDefault="00E81B3D" w:rsidP="00200C58">
      <w:pPr>
        <w:ind w:left="993"/>
        <w:rPr>
          <w:sz w:val="20"/>
          <w:szCs w:val="20"/>
        </w:rPr>
      </w:pPr>
      <w:r w:rsidRPr="00200C58">
        <w:rPr>
          <w:b/>
          <w:bCs/>
          <w:sz w:val="20"/>
          <w:szCs w:val="20"/>
        </w:rPr>
        <w:t>En &gt; 80 años</w:t>
      </w:r>
      <w:r w:rsidRPr="00200C58">
        <w:rPr>
          <w:sz w:val="20"/>
          <w:szCs w:val="20"/>
        </w:rPr>
        <w:t xml:space="preserve"> no remitir, incluso a pesar de FGe &lt; 30 ml/min/1,73 m</w:t>
      </w:r>
      <w:r w:rsidRPr="00200C58">
        <w:rPr>
          <w:sz w:val="20"/>
          <w:szCs w:val="20"/>
          <w:vertAlign w:val="superscript"/>
        </w:rPr>
        <w:t>2</w:t>
      </w:r>
      <w:r w:rsidRPr="00200C58">
        <w:rPr>
          <w:sz w:val="20"/>
          <w:szCs w:val="20"/>
        </w:rPr>
        <w:t>, a no ser que presenten alguno de los siguientes signos de alarma :albuminuria &gt; 300 mg/g, hematuria no urológica, progresión renal ( &gt; 5 ml/min/</w:t>
      </w:r>
      <w:r w:rsidRPr="00200C58">
        <w:rPr>
          <w:rFonts w:cs="Arial"/>
          <w:sz w:val="20"/>
          <w:szCs w:val="20"/>
        </w:rPr>
        <w:t>1.73m</w:t>
      </w:r>
      <w:r w:rsidRPr="00200C58">
        <w:rPr>
          <w:rFonts w:cs="Arial"/>
          <w:sz w:val="20"/>
          <w:szCs w:val="20"/>
          <w:vertAlign w:val="superscript"/>
        </w:rPr>
        <w:t>2</w:t>
      </w:r>
      <w:r w:rsidRPr="00200C58">
        <w:rPr>
          <w:rFonts w:cs="Arial"/>
          <w:sz w:val="20"/>
          <w:szCs w:val="20"/>
        </w:rPr>
        <w:t>/</w:t>
      </w:r>
      <w:r w:rsidRPr="00200C58">
        <w:rPr>
          <w:sz w:val="20"/>
          <w:szCs w:val="20"/>
        </w:rPr>
        <w:t xml:space="preserve">1año) o </w:t>
      </w:r>
      <w:r w:rsidRPr="00200C58">
        <w:rPr>
          <w:sz w:val="20"/>
          <w:szCs w:val="20"/>
        </w:rPr>
        <w:sym w:font="Symbol" w:char="F0AF"/>
      </w:r>
      <w:r w:rsidRPr="00200C58">
        <w:rPr>
          <w:sz w:val="20"/>
          <w:szCs w:val="20"/>
        </w:rPr>
        <w:t xml:space="preserve"> FG &gt; 25 % en un mes, FGe &lt; 20 ml/min/1,73 m</w:t>
      </w:r>
      <w:r w:rsidRPr="00200C58">
        <w:rPr>
          <w:sz w:val="20"/>
          <w:szCs w:val="20"/>
          <w:vertAlign w:val="superscript"/>
        </w:rPr>
        <w:t>2</w:t>
      </w:r>
      <w:r w:rsidRPr="00200C58">
        <w:rPr>
          <w:sz w:val="20"/>
          <w:szCs w:val="20"/>
        </w:rPr>
        <w:t>, o previsión de necesidad de terapia sustitutiva renal. En cualquier caso es necesario individualizar estos criterios generales.</w:t>
      </w:r>
    </w:p>
    <w:p w:rsidR="00E81B3D" w:rsidRPr="00200C58" w:rsidRDefault="00E81B3D" w:rsidP="00200C58">
      <w:pPr>
        <w:ind w:left="993"/>
        <w:rPr>
          <w:sz w:val="20"/>
          <w:szCs w:val="20"/>
        </w:rPr>
      </w:pPr>
    </w:p>
    <w:p w:rsidR="00E81B3D" w:rsidRPr="00805BDE" w:rsidRDefault="00E81B3D" w:rsidP="00200C58">
      <w:pPr>
        <w:ind w:left="993"/>
        <w:rPr>
          <w:sz w:val="20"/>
        </w:rPr>
      </w:pPr>
      <w:r w:rsidRPr="00805BDE">
        <w:rPr>
          <w:b/>
          <w:bCs/>
          <w:sz w:val="18"/>
        </w:rPr>
        <w:t>ERC</w:t>
      </w:r>
      <w:r w:rsidRPr="00805BDE">
        <w:rPr>
          <w:sz w:val="18"/>
        </w:rPr>
        <w:t xml:space="preserve">: enfermedad renal crónica;                        </w:t>
      </w:r>
      <w:r w:rsidRPr="00805BDE">
        <w:rPr>
          <w:b/>
          <w:bCs/>
          <w:sz w:val="18"/>
        </w:rPr>
        <w:t>FGe</w:t>
      </w:r>
      <w:r w:rsidRPr="00805BDE">
        <w:rPr>
          <w:sz w:val="18"/>
        </w:rPr>
        <w:t>: filtrado glomerular estimado</w:t>
      </w:r>
    </w:p>
    <w:p w:rsidR="00E81B3D" w:rsidRDefault="00E81B3D" w:rsidP="00200C58">
      <w:pPr>
        <w:ind w:left="993"/>
      </w:pPr>
      <w:r w:rsidRPr="00805BDE">
        <w:rPr>
          <w:b/>
          <w:bCs/>
          <w:sz w:val="18"/>
        </w:rPr>
        <w:t>Coc Alb/creat</w:t>
      </w:r>
      <w:r w:rsidRPr="00805BDE">
        <w:rPr>
          <w:sz w:val="18"/>
        </w:rPr>
        <w:t xml:space="preserve">: cociente albúmina/creatinina;    </w:t>
      </w:r>
      <w:r w:rsidRPr="00805BDE">
        <w:rPr>
          <w:b/>
          <w:bCs/>
          <w:sz w:val="18"/>
        </w:rPr>
        <w:t>FRCV</w:t>
      </w:r>
      <w:r w:rsidRPr="00805BDE">
        <w:rPr>
          <w:sz w:val="18"/>
        </w:rPr>
        <w:t xml:space="preserve">: factores de riesgo cardiovascular </w:t>
      </w:r>
    </w:p>
    <w:p w:rsidR="00E81B3D" w:rsidRPr="00260D0A" w:rsidRDefault="00E81B3D" w:rsidP="00D83695">
      <w:pPr>
        <w:spacing w:before="120" w:after="120"/>
        <w:rPr>
          <w:rFonts w:cs="Arial"/>
          <w:sz w:val="20"/>
          <w:szCs w:val="20"/>
        </w:rPr>
      </w:pPr>
    </w:p>
    <w:p w:rsidR="00E81B3D" w:rsidRPr="00215D7C" w:rsidRDefault="00E81B3D" w:rsidP="00260D0A">
      <w:pPr>
        <w:pStyle w:val="Ttulo2"/>
        <w:ind w:left="993" w:hanging="426"/>
        <w:rPr>
          <w:rFonts w:ascii="Arial" w:hAnsi="Arial" w:cs="Arial"/>
          <w:i w:val="0"/>
          <w:sz w:val="20"/>
          <w:szCs w:val="20"/>
        </w:rPr>
      </w:pPr>
      <w:bookmarkStart w:id="30" w:name="_Toc341725524"/>
      <w:bookmarkStart w:id="31" w:name="_Toc316486464"/>
      <w:bookmarkStart w:id="32" w:name="_Toc316486563"/>
      <w:bookmarkEnd w:id="28"/>
      <w:bookmarkEnd w:id="29"/>
      <w:r w:rsidRPr="00215D7C">
        <w:rPr>
          <w:rFonts w:ascii="Arial" w:hAnsi="Arial" w:cs="Arial"/>
          <w:i w:val="0"/>
          <w:sz w:val="20"/>
          <w:szCs w:val="20"/>
        </w:rPr>
        <w:t>Seguimiento del paciente y actitudes.</w:t>
      </w:r>
      <w:bookmarkEnd w:id="30"/>
    </w:p>
    <w:p w:rsidR="00E81B3D" w:rsidRPr="002B548F" w:rsidRDefault="00E81B3D" w:rsidP="00260D0A">
      <w:pPr>
        <w:spacing w:before="120" w:after="120"/>
        <w:ind w:left="993"/>
        <w:rPr>
          <w:rFonts w:cs="Arial"/>
          <w:sz w:val="20"/>
          <w:szCs w:val="20"/>
        </w:rPr>
      </w:pPr>
      <w:r w:rsidRPr="002B548F">
        <w:rPr>
          <w:rFonts w:cs="Arial"/>
          <w:sz w:val="20"/>
          <w:szCs w:val="20"/>
        </w:rPr>
        <w:t xml:space="preserve">En cada Área de Salud debe protocolizarse el seguimiento conjunto del paciente entre </w:t>
      </w:r>
      <w:r>
        <w:rPr>
          <w:rFonts w:cs="Arial"/>
          <w:sz w:val="20"/>
          <w:szCs w:val="20"/>
        </w:rPr>
        <w:t>atención primaria</w:t>
      </w:r>
      <w:r w:rsidRPr="002B548F">
        <w:rPr>
          <w:rFonts w:cs="Arial"/>
          <w:sz w:val="20"/>
          <w:szCs w:val="20"/>
        </w:rPr>
        <w:t xml:space="preserve"> y Nefrología, con unos objetivos a cumplir de acuerdo con el estadio de ERC (</w:t>
      </w:r>
      <w:r>
        <w:rPr>
          <w:rFonts w:cs="Arial"/>
          <w:sz w:val="20"/>
          <w:szCs w:val="20"/>
        </w:rPr>
        <w:t>tablas 8 y 9)</w:t>
      </w:r>
      <w:r w:rsidRPr="002B548F">
        <w:rPr>
          <w:rFonts w:cs="Arial"/>
          <w:sz w:val="20"/>
          <w:szCs w:val="20"/>
        </w:rPr>
        <w:t>.</w:t>
      </w:r>
    </w:p>
    <w:p w:rsidR="00E81B3D" w:rsidRDefault="00E81B3D" w:rsidP="00D83695">
      <w:pPr>
        <w:spacing w:before="120" w:after="120"/>
        <w:rPr>
          <w:rFonts w:cs="Arial"/>
          <w:b/>
          <w:sz w:val="18"/>
          <w:szCs w:val="18"/>
        </w:rPr>
      </w:pPr>
    </w:p>
    <w:p w:rsidR="00E81B3D" w:rsidRPr="00445221" w:rsidRDefault="00E81B3D" w:rsidP="00904912">
      <w:pPr>
        <w:spacing w:before="120" w:after="120"/>
        <w:ind w:left="993"/>
        <w:jc w:val="left"/>
        <w:rPr>
          <w:rFonts w:cs="Arial"/>
          <w:b/>
          <w:sz w:val="18"/>
          <w:szCs w:val="18"/>
        </w:rPr>
      </w:pPr>
      <w:r w:rsidRPr="00445221">
        <w:rPr>
          <w:rFonts w:cs="Arial"/>
          <w:b/>
          <w:sz w:val="18"/>
          <w:szCs w:val="18"/>
        </w:rPr>
        <w:t>Tabla 9.- FRECUENCIA DE MONITORIZACIÓN DE VISITAS.</w:t>
      </w:r>
    </w:p>
    <w:p w:rsidR="00E81B3D" w:rsidRDefault="009D115B" w:rsidP="00260D0A">
      <w:pPr>
        <w:spacing w:before="120" w:after="120"/>
        <w:ind w:left="993"/>
        <w:rPr>
          <w:rFonts w:cs="Arial"/>
          <w:b/>
          <w:noProof/>
          <w:sz w:val="18"/>
          <w:szCs w:val="18"/>
        </w:rPr>
      </w:pPr>
      <w:r>
        <w:rPr>
          <w:rFonts w:cs="Arial"/>
          <w:b/>
          <w:noProof/>
          <w:sz w:val="18"/>
          <w:szCs w:val="18"/>
        </w:rPr>
        <w:drawing>
          <wp:inline distT="0" distB="0" distL="0" distR="0">
            <wp:extent cx="238760" cy="163830"/>
            <wp:effectExtent l="19050" t="0" r="889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7"/>
                    <a:srcRect r="-433" b="-4294"/>
                    <a:stretch>
                      <a:fillRect/>
                    </a:stretch>
                  </pic:blipFill>
                  <pic:spPr bwMode="auto">
                    <a:xfrm>
                      <a:off x="0" y="0"/>
                      <a:ext cx="238760" cy="163830"/>
                    </a:xfrm>
                    <a:prstGeom prst="rect">
                      <a:avLst/>
                    </a:prstGeom>
                    <a:noFill/>
                    <a:ln w="9525">
                      <a:noFill/>
                      <a:miter lim="800000"/>
                      <a:headEnd/>
                      <a:tailEnd/>
                    </a:ln>
                  </pic:spPr>
                </pic:pic>
              </a:graphicData>
            </a:graphic>
          </wp:inline>
        </w:drawing>
      </w:r>
      <w:r w:rsidR="00E81B3D">
        <w:rPr>
          <w:rFonts w:cs="Arial"/>
          <w:b/>
          <w:noProof/>
          <w:sz w:val="18"/>
          <w:szCs w:val="18"/>
        </w:rPr>
        <w:t xml:space="preserve"> Control por Nefrologia</w:t>
      </w:r>
    </w:p>
    <w:p w:rsidR="00E81B3D" w:rsidRDefault="009D115B" w:rsidP="00260D0A">
      <w:pPr>
        <w:spacing w:before="120" w:after="120"/>
        <w:ind w:left="993"/>
        <w:rPr>
          <w:rFonts w:cs="Arial"/>
          <w:b/>
          <w:noProof/>
          <w:sz w:val="18"/>
          <w:szCs w:val="18"/>
        </w:rPr>
      </w:pPr>
      <w:r>
        <w:rPr>
          <w:rFonts w:cs="Arial"/>
          <w:b/>
          <w:noProof/>
          <w:sz w:val="18"/>
          <w:szCs w:val="18"/>
        </w:rPr>
        <w:drawing>
          <wp:inline distT="0" distB="0" distL="0" distR="0">
            <wp:extent cx="238760" cy="156845"/>
            <wp:effectExtent l="19050" t="0" r="889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8"/>
                    <a:srcRect r="-433" b="-4294"/>
                    <a:stretch>
                      <a:fillRect/>
                    </a:stretch>
                  </pic:blipFill>
                  <pic:spPr bwMode="auto">
                    <a:xfrm>
                      <a:off x="0" y="0"/>
                      <a:ext cx="238760" cy="156845"/>
                    </a:xfrm>
                    <a:prstGeom prst="rect">
                      <a:avLst/>
                    </a:prstGeom>
                    <a:noFill/>
                    <a:ln w="9525">
                      <a:noFill/>
                      <a:miter lim="800000"/>
                      <a:headEnd/>
                      <a:tailEnd/>
                    </a:ln>
                  </pic:spPr>
                </pic:pic>
              </a:graphicData>
            </a:graphic>
          </wp:inline>
        </w:drawing>
      </w:r>
      <w:r w:rsidR="00E81B3D">
        <w:rPr>
          <w:rFonts w:cs="Arial"/>
          <w:b/>
          <w:noProof/>
          <w:sz w:val="18"/>
          <w:szCs w:val="18"/>
        </w:rPr>
        <w:t xml:space="preserve"> Control por atención primaria</w:t>
      </w:r>
      <w:r w:rsidR="00E81B3D" w:rsidRPr="0096079C">
        <w:rPr>
          <w:rFonts w:cs="Arial"/>
          <w:b/>
          <w:noProof/>
          <w:sz w:val="18"/>
          <w:szCs w:val="18"/>
        </w:rPr>
        <w:t xml:space="preserve"> u otras</w:t>
      </w:r>
      <w:r w:rsidR="00E81B3D">
        <w:rPr>
          <w:rFonts w:cs="Arial"/>
          <w:b/>
          <w:noProof/>
          <w:sz w:val="18"/>
          <w:szCs w:val="18"/>
        </w:rPr>
        <w:t xml:space="preserve"> especialidades</w:t>
      </w:r>
    </w:p>
    <w:p w:rsidR="00E81B3D" w:rsidRDefault="00E81B3D" w:rsidP="00260D0A">
      <w:pPr>
        <w:spacing w:before="120" w:after="120"/>
        <w:ind w:left="993"/>
        <w:rPr>
          <w:rFonts w:cs="Arial"/>
          <w:b/>
          <w:noProof/>
          <w:sz w:val="18"/>
          <w:szCs w:val="18"/>
        </w:rPr>
      </w:pPr>
    </w:p>
    <w:tbl>
      <w:tblPr>
        <w:tblW w:w="9014" w:type="dxa"/>
        <w:tblCellMar>
          <w:left w:w="0" w:type="dxa"/>
          <w:right w:w="0" w:type="dxa"/>
        </w:tblCellMar>
        <w:tblLook w:val="00A0"/>
      </w:tblPr>
      <w:tblGrid>
        <w:gridCol w:w="1084"/>
        <w:gridCol w:w="1878"/>
        <w:gridCol w:w="2083"/>
        <w:gridCol w:w="1842"/>
        <w:gridCol w:w="2127"/>
      </w:tblGrid>
      <w:tr w:rsidR="00E81B3D" w:rsidRPr="00B63F1B" w:rsidTr="000332D4">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rPr>
                <w:sz w:val="16"/>
              </w:rPr>
            </w:pP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rPr>
                <w:sz w:val="16"/>
              </w:rPr>
            </w:pPr>
          </w:p>
        </w:tc>
        <w:tc>
          <w:tcPr>
            <w:tcW w:w="6052" w:type="dxa"/>
            <w:gridSpan w:val="3"/>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Estadio de albuminuria</w:t>
            </w:r>
          </w:p>
        </w:tc>
      </w:tr>
      <w:tr w:rsidR="00E81B3D" w:rsidRPr="00B63F1B" w:rsidTr="000332D4">
        <w:trPr>
          <w:trHeight w:val="529"/>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Estadio ERC</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FGe (ml/min/1,73 m</w:t>
            </w:r>
            <w:r w:rsidRPr="00B63F1B">
              <w:rPr>
                <w:b/>
                <w:bCs/>
                <w:sz w:val="16"/>
                <w:vertAlign w:val="superscript"/>
              </w:rPr>
              <w:t>2</w:t>
            </w:r>
            <w:r w:rsidRPr="00B63F1B">
              <w:rPr>
                <w:b/>
                <w:bCs/>
                <w:sz w:val="16"/>
              </w:rPr>
              <w:t>)</w:t>
            </w:r>
          </w:p>
        </w:tc>
        <w:tc>
          <w:tcPr>
            <w:tcW w:w="2083"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Normal</w:t>
            </w:r>
          </w:p>
          <w:p w:rsidR="00E81B3D" w:rsidRPr="00B63F1B" w:rsidRDefault="00E81B3D" w:rsidP="00B63F1B">
            <w:pPr>
              <w:jc w:val="center"/>
              <w:rPr>
                <w:sz w:val="16"/>
              </w:rPr>
            </w:pPr>
            <w:r w:rsidRPr="00B63F1B">
              <w:rPr>
                <w:b/>
                <w:bCs/>
                <w:sz w:val="16"/>
              </w:rPr>
              <w:t>(&lt; 30 mg/g)</w:t>
            </w:r>
          </w:p>
        </w:tc>
        <w:tc>
          <w:tcPr>
            <w:tcW w:w="1842"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6"/>
              </w:rPr>
            </w:pPr>
            <w:r w:rsidRPr="00B63F1B">
              <w:rPr>
                <w:b/>
                <w:bCs/>
                <w:sz w:val="16"/>
              </w:rPr>
              <w:t>Albuminuria</w:t>
            </w:r>
          </w:p>
          <w:p w:rsidR="00E81B3D" w:rsidRPr="00B63F1B" w:rsidRDefault="00E81B3D" w:rsidP="00B63F1B">
            <w:pPr>
              <w:jc w:val="center"/>
              <w:rPr>
                <w:sz w:val="16"/>
              </w:rPr>
            </w:pPr>
            <w:r w:rsidRPr="00B63F1B">
              <w:rPr>
                <w:b/>
                <w:bCs/>
                <w:sz w:val="16"/>
              </w:rPr>
              <w:t>(30-300 mg/g)</w:t>
            </w:r>
          </w:p>
        </w:tc>
        <w:tc>
          <w:tcPr>
            <w:tcW w:w="2127"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Default="00E81B3D" w:rsidP="0096079C">
            <w:pPr>
              <w:jc w:val="center"/>
              <w:rPr>
                <w:b/>
                <w:bCs/>
                <w:sz w:val="16"/>
              </w:rPr>
            </w:pPr>
            <w:r>
              <w:rPr>
                <w:b/>
                <w:bCs/>
                <w:sz w:val="16"/>
              </w:rPr>
              <w:t>Albuminuria</w:t>
            </w:r>
          </w:p>
          <w:p w:rsidR="00E81B3D" w:rsidRPr="00B63F1B" w:rsidRDefault="00E81B3D" w:rsidP="0096079C">
            <w:pPr>
              <w:jc w:val="center"/>
              <w:rPr>
                <w:sz w:val="16"/>
              </w:rPr>
            </w:pPr>
            <w:r w:rsidRPr="00B63F1B">
              <w:rPr>
                <w:b/>
                <w:bCs/>
                <w:sz w:val="16"/>
              </w:rPr>
              <w:t xml:space="preserve"> (&gt; 300 mg/g)</w:t>
            </w:r>
          </w:p>
        </w:tc>
      </w:tr>
      <w:tr w:rsidR="00E81B3D" w:rsidRPr="00B63F1B" w:rsidTr="000332D4">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1</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&gt; 90</w:t>
            </w:r>
          </w:p>
        </w:tc>
        <w:tc>
          <w:tcPr>
            <w:tcW w:w="2083"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12B66" w:rsidRDefault="00E81B3D" w:rsidP="00B63F1B">
            <w:pPr>
              <w:jc w:val="center"/>
              <w:rPr>
                <w:sz w:val="18"/>
              </w:rPr>
            </w:pPr>
            <w:r w:rsidRPr="00B12B66">
              <w:rPr>
                <w:sz w:val="18"/>
              </w:rPr>
              <w:t>1 si ERC</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Pr>
                <w:sz w:val="20"/>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Pr>
                <w:sz w:val="20"/>
              </w:rPr>
              <w:t>2</w:t>
            </w:r>
          </w:p>
        </w:tc>
      </w:tr>
      <w:tr w:rsidR="00E81B3D" w:rsidRPr="00B63F1B" w:rsidTr="00B12B66">
        <w:trPr>
          <w:trHeight w:val="265"/>
        </w:trPr>
        <w:tc>
          <w:tcPr>
            <w:tcW w:w="1084" w:type="dxa"/>
            <w:tcBorders>
              <w:top w:val="single" w:sz="8" w:space="0" w:color="000000"/>
              <w:left w:val="single" w:sz="8" w:space="0" w:color="000000"/>
              <w:bottom w:val="single" w:sz="8" w:space="0" w:color="000000"/>
              <w:right w:val="single" w:sz="8" w:space="0" w:color="000000"/>
            </w:tcBorders>
          </w:tcPr>
          <w:p w:rsidR="00E81B3D" w:rsidRPr="00B63F1B" w:rsidRDefault="00E81B3D" w:rsidP="00B63F1B">
            <w:pPr>
              <w:jc w:val="center"/>
              <w:rPr>
                <w:sz w:val="18"/>
              </w:rPr>
            </w:pPr>
            <w:r w:rsidRPr="00B63F1B">
              <w:rPr>
                <w:b/>
                <w:bCs/>
                <w:sz w:val="18"/>
              </w:rPr>
              <w:t>2</w:t>
            </w:r>
          </w:p>
        </w:tc>
        <w:tc>
          <w:tcPr>
            <w:tcW w:w="1878" w:type="dxa"/>
            <w:tcBorders>
              <w:top w:val="single" w:sz="8" w:space="0" w:color="000000"/>
              <w:left w:val="single" w:sz="8" w:space="0" w:color="000000"/>
              <w:bottom w:val="single" w:sz="8" w:space="0" w:color="000000"/>
              <w:right w:val="single" w:sz="8" w:space="0" w:color="000000"/>
            </w:tcBorders>
          </w:tcPr>
          <w:p w:rsidR="00E81B3D" w:rsidRPr="00B63F1B" w:rsidRDefault="00E81B3D" w:rsidP="00B63F1B">
            <w:pPr>
              <w:jc w:val="center"/>
              <w:rPr>
                <w:sz w:val="18"/>
              </w:rPr>
            </w:pPr>
            <w:r w:rsidRPr="00B63F1B">
              <w:rPr>
                <w:b/>
                <w:bCs/>
                <w:sz w:val="18"/>
              </w:rPr>
              <w:t>60-89</w:t>
            </w:r>
          </w:p>
        </w:tc>
        <w:tc>
          <w:tcPr>
            <w:tcW w:w="2083"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E81B3D" w:rsidRPr="00B12B66" w:rsidRDefault="00E81B3D" w:rsidP="00B63F1B">
            <w:pPr>
              <w:jc w:val="center"/>
              <w:rPr>
                <w:sz w:val="20"/>
              </w:rPr>
            </w:pPr>
            <w:r w:rsidRPr="00B12B66">
              <w:rPr>
                <w:sz w:val="20"/>
              </w:rPr>
              <w:t>1 si ERC</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Pr>
                <w:sz w:val="20"/>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Pr>
                <w:sz w:val="20"/>
              </w:rPr>
              <w:t>2</w:t>
            </w:r>
          </w:p>
        </w:tc>
      </w:tr>
      <w:tr w:rsidR="00E81B3D" w:rsidRPr="00B63F1B" w:rsidTr="00B63F1B">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3a</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45-59</w:t>
            </w:r>
          </w:p>
        </w:tc>
        <w:tc>
          <w:tcPr>
            <w:tcW w:w="2083"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sidRPr="00B63F1B">
              <w:rPr>
                <w:sz w:val="20"/>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sidRPr="00B63F1B">
              <w:rPr>
                <w:sz w:val="20"/>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3</w:t>
            </w:r>
          </w:p>
        </w:tc>
      </w:tr>
      <w:tr w:rsidR="00E81B3D" w:rsidRPr="006F39D2" w:rsidTr="00B63F1B">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3b</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30-44</w:t>
            </w:r>
          </w:p>
        </w:tc>
        <w:tc>
          <w:tcPr>
            <w:tcW w:w="2083"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sidRPr="00B63F1B">
              <w:rPr>
                <w:sz w:val="20"/>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00"/>
            <w:tcMar>
              <w:top w:w="10" w:type="dxa"/>
              <w:left w:w="83" w:type="dxa"/>
              <w:bottom w:w="0" w:type="dxa"/>
              <w:right w:w="83" w:type="dxa"/>
            </w:tcMar>
          </w:tcPr>
          <w:p w:rsidR="00E81B3D" w:rsidRPr="00B63F1B" w:rsidRDefault="00E81B3D" w:rsidP="00B63F1B">
            <w:pPr>
              <w:jc w:val="center"/>
              <w:rPr>
                <w:sz w:val="20"/>
              </w:rPr>
            </w:pPr>
            <w:r w:rsidRPr="00B63F1B">
              <w:rPr>
                <w:sz w:val="20"/>
              </w:rPr>
              <w:t>3</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3</w:t>
            </w:r>
          </w:p>
        </w:tc>
      </w:tr>
      <w:tr w:rsidR="00E81B3D" w:rsidRPr="00B63F1B" w:rsidTr="000332D4">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4</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15-29</w:t>
            </w:r>
          </w:p>
        </w:tc>
        <w:tc>
          <w:tcPr>
            <w:tcW w:w="2083"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3</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4</w:t>
            </w:r>
          </w:p>
        </w:tc>
      </w:tr>
      <w:tr w:rsidR="00E81B3D" w:rsidRPr="006F39D2" w:rsidTr="000332D4">
        <w:trPr>
          <w:trHeight w:val="265"/>
        </w:trPr>
        <w:tc>
          <w:tcPr>
            <w:tcW w:w="1084"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5</w:t>
            </w:r>
          </w:p>
        </w:tc>
        <w:tc>
          <w:tcPr>
            <w:tcW w:w="1878" w:type="dxa"/>
            <w:tcBorders>
              <w:top w:val="single" w:sz="8" w:space="0" w:color="000000"/>
              <w:left w:val="single" w:sz="8" w:space="0" w:color="000000"/>
              <w:bottom w:val="single" w:sz="8" w:space="0" w:color="000000"/>
              <w:right w:val="single" w:sz="8" w:space="0" w:color="000000"/>
            </w:tcBorders>
            <w:tcMar>
              <w:top w:w="10" w:type="dxa"/>
              <w:left w:w="83" w:type="dxa"/>
              <w:bottom w:w="0" w:type="dxa"/>
              <w:right w:w="83" w:type="dxa"/>
            </w:tcMar>
          </w:tcPr>
          <w:p w:rsidR="00E81B3D" w:rsidRPr="00B63F1B" w:rsidRDefault="00E81B3D" w:rsidP="00B63F1B">
            <w:pPr>
              <w:jc w:val="center"/>
              <w:rPr>
                <w:sz w:val="18"/>
              </w:rPr>
            </w:pPr>
            <w:r w:rsidRPr="00B63F1B">
              <w:rPr>
                <w:b/>
                <w:bCs/>
                <w:sz w:val="18"/>
              </w:rPr>
              <w:t>&lt; 15</w:t>
            </w:r>
          </w:p>
        </w:tc>
        <w:tc>
          <w:tcPr>
            <w:tcW w:w="2083"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4</w:t>
            </w:r>
          </w:p>
        </w:tc>
        <w:tc>
          <w:tcPr>
            <w:tcW w:w="2127" w:type="dxa"/>
            <w:tcBorders>
              <w:top w:val="single" w:sz="8" w:space="0" w:color="000000"/>
              <w:left w:val="single" w:sz="8" w:space="0" w:color="000000"/>
              <w:bottom w:val="single" w:sz="8" w:space="0" w:color="000000"/>
              <w:right w:val="single" w:sz="8" w:space="0" w:color="000000"/>
            </w:tcBorders>
            <w:shd w:val="clear" w:color="auto" w:fill="FF0000"/>
            <w:tcMar>
              <w:top w:w="10" w:type="dxa"/>
              <w:left w:w="83" w:type="dxa"/>
              <w:bottom w:w="0" w:type="dxa"/>
              <w:right w:w="83" w:type="dxa"/>
            </w:tcMar>
          </w:tcPr>
          <w:p w:rsidR="00E81B3D" w:rsidRPr="00B63F1B" w:rsidRDefault="00E81B3D" w:rsidP="00B63F1B">
            <w:pPr>
              <w:jc w:val="center"/>
              <w:rPr>
                <w:sz w:val="20"/>
              </w:rPr>
            </w:pPr>
            <w:r w:rsidRPr="00B63F1B">
              <w:rPr>
                <w:sz w:val="20"/>
              </w:rPr>
              <w:t>4</w:t>
            </w:r>
          </w:p>
        </w:tc>
      </w:tr>
    </w:tbl>
    <w:p w:rsidR="00E81B3D" w:rsidRPr="006F39D2" w:rsidRDefault="00E81B3D" w:rsidP="00260D0A">
      <w:pPr>
        <w:spacing w:before="120" w:after="120"/>
        <w:ind w:left="993"/>
        <w:rPr>
          <w:rFonts w:cs="Arial"/>
          <w:b/>
          <w:sz w:val="18"/>
          <w:szCs w:val="18"/>
          <w:u w:val="single"/>
        </w:rPr>
      </w:pPr>
    </w:p>
    <w:p w:rsidR="00E81B3D" w:rsidRPr="003C0DE6" w:rsidRDefault="00E81B3D" w:rsidP="003C0DE6">
      <w:pPr>
        <w:ind w:left="993"/>
        <w:rPr>
          <w:sz w:val="20"/>
          <w:szCs w:val="20"/>
        </w:rPr>
      </w:pPr>
      <w:r w:rsidRPr="003C0DE6">
        <w:rPr>
          <w:sz w:val="20"/>
          <w:szCs w:val="20"/>
        </w:rPr>
        <w:t>En cualquier caso es necesario individualizar estos criterios generales.</w:t>
      </w:r>
    </w:p>
    <w:p w:rsidR="00E81B3D" w:rsidRPr="00C32DEE" w:rsidRDefault="00E81B3D" w:rsidP="007C6C1B">
      <w:pPr>
        <w:rPr>
          <w:sz w:val="22"/>
        </w:rPr>
      </w:pPr>
    </w:p>
    <w:p w:rsidR="00E81B3D" w:rsidRDefault="00E81B3D" w:rsidP="00260D0A">
      <w:pPr>
        <w:spacing w:before="120" w:after="120"/>
        <w:ind w:left="993"/>
        <w:rPr>
          <w:rFonts w:cs="Arial"/>
          <w:sz w:val="20"/>
          <w:szCs w:val="20"/>
        </w:rPr>
      </w:pPr>
    </w:p>
    <w:p w:rsidR="00E81B3D" w:rsidRPr="0096079C" w:rsidRDefault="00E81B3D" w:rsidP="00260D0A">
      <w:pPr>
        <w:spacing w:before="120" w:after="120"/>
        <w:ind w:left="993"/>
        <w:rPr>
          <w:rFonts w:cs="Arial"/>
          <w:sz w:val="20"/>
          <w:szCs w:val="20"/>
        </w:rPr>
      </w:pPr>
      <w:r w:rsidRPr="006318BF">
        <w:rPr>
          <w:rFonts w:cs="Arial"/>
          <w:sz w:val="20"/>
          <w:szCs w:val="20"/>
        </w:rPr>
        <w:lastRenderedPageBreak/>
        <w:t xml:space="preserve">En </w:t>
      </w:r>
      <w:r w:rsidRPr="0096079C">
        <w:rPr>
          <w:rFonts w:cs="Arial"/>
          <w:sz w:val="20"/>
          <w:szCs w:val="20"/>
        </w:rPr>
        <w:t xml:space="preserve">cada revisión en </w:t>
      </w:r>
      <w:r>
        <w:rPr>
          <w:rFonts w:cs="Arial"/>
          <w:sz w:val="20"/>
          <w:szCs w:val="20"/>
        </w:rPr>
        <w:t>atención primaria</w:t>
      </w:r>
      <w:r w:rsidRPr="0096079C">
        <w:rPr>
          <w:rFonts w:cs="Arial"/>
          <w:sz w:val="20"/>
          <w:szCs w:val="20"/>
        </w:rPr>
        <w:t xml:space="preserve"> se recomienda:</w:t>
      </w:r>
    </w:p>
    <w:p w:rsidR="00E81B3D" w:rsidRPr="006318BF" w:rsidRDefault="00E81B3D" w:rsidP="003F020D">
      <w:pPr>
        <w:numPr>
          <w:ilvl w:val="0"/>
          <w:numId w:val="16"/>
        </w:numPr>
        <w:spacing w:before="120" w:after="120"/>
        <w:ind w:left="1560" w:hanging="284"/>
        <w:rPr>
          <w:rFonts w:cs="Arial"/>
          <w:sz w:val="20"/>
          <w:szCs w:val="20"/>
        </w:rPr>
      </w:pPr>
      <w:r w:rsidRPr="0096079C">
        <w:rPr>
          <w:rFonts w:cs="Arial"/>
          <w:b/>
          <w:sz w:val="20"/>
          <w:szCs w:val="20"/>
        </w:rPr>
        <w:t>Controlar la PA y ajustar el tratamiento</w:t>
      </w:r>
      <w:r w:rsidRPr="0096079C">
        <w:rPr>
          <w:rFonts w:cs="Arial"/>
          <w:sz w:val="20"/>
          <w:szCs w:val="20"/>
        </w:rPr>
        <w:t xml:space="preserve"> para conseguir el objetivo de PA &lt; 140/90 mmHg en presencia de excreción urinaria de albumina normal. En presencia de albuminuria (&gt; 30 mg/g), se sugiere un objetivo de presión arterial m</w:t>
      </w:r>
      <w:r>
        <w:rPr>
          <w:rFonts w:cs="Arial"/>
          <w:sz w:val="20"/>
          <w:szCs w:val="20"/>
        </w:rPr>
        <w:t>á</w:t>
      </w:r>
      <w:r w:rsidRPr="0096079C">
        <w:rPr>
          <w:rFonts w:cs="Arial"/>
          <w:sz w:val="20"/>
          <w:szCs w:val="20"/>
        </w:rPr>
        <w:t>s estricto: ≤.130/80 mmHg.. En la mayoría de los casos será necesario asociar 2 fármacos o más para alcanzar estos objetivos.</w:t>
      </w:r>
      <w:r w:rsidRPr="006318BF">
        <w:rPr>
          <w:rFonts w:cs="Arial"/>
          <w:sz w:val="20"/>
          <w:szCs w:val="20"/>
        </w:rPr>
        <w:t xml:space="preserve"> En pacientes de edad avanzada esta medida será objeto de una prudente y cuidada individualización.</w:t>
      </w:r>
    </w:p>
    <w:p w:rsidR="00E81B3D" w:rsidRPr="006318BF" w:rsidRDefault="00E81B3D" w:rsidP="003F020D">
      <w:pPr>
        <w:numPr>
          <w:ilvl w:val="0"/>
          <w:numId w:val="16"/>
        </w:numPr>
        <w:spacing w:before="120" w:after="120"/>
        <w:ind w:left="1560" w:hanging="284"/>
        <w:rPr>
          <w:rFonts w:cs="Arial"/>
          <w:sz w:val="20"/>
          <w:szCs w:val="20"/>
        </w:rPr>
      </w:pPr>
      <w:r w:rsidRPr="006318BF">
        <w:rPr>
          <w:rFonts w:cs="Arial"/>
          <w:b/>
          <w:sz w:val="20"/>
          <w:szCs w:val="20"/>
        </w:rPr>
        <w:t>Vigilar presencia de anemia: Si ERC 3-5 y Hb</w:t>
      </w:r>
      <w:r>
        <w:rPr>
          <w:rFonts w:cs="Arial"/>
          <w:b/>
          <w:sz w:val="20"/>
          <w:szCs w:val="20"/>
        </w:rPr>
        <w:t xml:space="preserve"> </w:t>
      </w:r>
      <w:r w:rsidRPr="006318BF">
        <w:rPr>
          <w:rFonts w:cs="Arial"/>
          <w:b/>
          <w:sz w:val="20"/>
          <w:szCs w:val="20"/>
        </w:rPr>
        <w:t>&lt; 1</w:t>
      </w:r>
      <w:r>
        <w:rPr>
          <w:rFonts w:cs="Arial"/>
          <w:b/>
          <w:sz w:val="20"/>
          <w:szCs w:val="20"/>
        </w:rPr>
        <w:t>0,5</w:t>
      </w:r>
      <w:r w:rsidRPr="006318BF">
        <w:rPr>
          <w:rFonts w:cs="Arial"/>
          <w:b/>
          <w:sz w:val="20"/>
          <w:szCs w:val="20"/>
        </w:rPr>
        <w:t xml:space="preserve"> g/dL</w:t>
      </w:r>
      <w:r w:rsidRPr="006318BF">
        <w:rPr>
          <w:rFonts w:cs="Arial"/>
          <w:sz w:val="20"/>
          <w:szCs w:val="20"/>
        </w:rPr>
        <w:t>, estimar remisión o adelantar revisión en Nefrología para valorar tratamiento con factores estimulantes de la eritropoyesis.</w:t>
      </w:r>
    </w:p>
    <w:p w:rsidR="00E81B3D" w:rsidRPr="006318BF" w:rsidRDefault="00E81B3D" w:rsidP="003F020D">
      <w:pPr>
        <w:numPr>
          <w:ilvl w:val="0"/>
          <w:numId w:val="16"/>
        </w:numPr>
        <w:spacing w:before="120" w:after="120"/>
        <w:ind w:left="1560" w:hanging="284"/>
        <w:rPr>
          <w:rFonts w:cs="Arial"/>
          <w:sz w:val="20"/>
          <w:szCs w:val="20"/>
        </w:rPr>
      </w:pPr>
      <w:r w:rsidRPr="006318BF">
        <w:rPr>
          <w:rFonts w:cs="Arial"/>
          <w:b/>
          <w:sz w:val="20"/>
          <w:szCs w:val="20"/>
        </w:rPr>
        <w:t>Revisar la medicación</w:t>
      </w:r>
      <w:r w:rsidRPr="006318BF">
        <w:rPr>
          <w:rFonts w:cs="Arial"/>
          <w:sz w:val="20"/>
          <w:szCs w:val="20"/>
        </w:rPr>
        <w:t xml:space="preserve">, ajustando la dosis según el FG. En ERC 3-5, evitar la utilización de AINEs, antidiabéticos orales de eliminación </w:t>
      </w:r>
      <w:r w:rsidRPr="0096079C">
        <w:rPr>
          <w:rFonts w:cs="Arial"/>
          <w:sz w:val="20"/>
          <w:szCs w:val="20"/>
        </w:rPr>
        <w:t>renal o a dosis no adecuadas y</w:t>
      </w:r>
      <w:r w:rsidRPr="006318BF">
        <w:rPr>
          <w:rFonts w:cs="Arial"/>
          <w:sz w:val="20"/>
          <w:szCs w:val="20"/>
        </w:rPr>
        <w:t xml:space="preserve"> contrastes yodados.</w:t>
      </w:r>
    </w:p>
    <w:p w:rsidR="00E81B3D" w:rsidRDefault="00E81B3D" w:rsidP="003F020D">
      <w:pPr>
        <w:numPr>
          <w:ilvl w:val="0"/>
          <w:numId w:val="16"/>
        </w:numPr>
        <w:spacing w:before="120" w:after="120"/>
        <w:ind w:left="1560" w:hanging="284"/>
        <w:rPr>
          <w:rFonts w:cs="Arial"/>
          <w:sz w:val="20"/>
          <w:szCs w:val="20"/>
        </w:rPr>
      </w:pPr>
      <w:r w:rsidRPr="006318BF">
        <w:rPr>
          <w:rFonts w:cs="Arial"/>
          <w:b/>
          <w:sz w:val="20"/>
          <w:szCs w:val="20"/>
        </w:rPr>
        <w:t>Revisar hábitos dietéticos</w:t>
      </w:r>
      <w:r w:rsidRPr="006318BF">
        <w:rPr>
          <w:rFonts w:cs="Arial"/>
          <w:sz w:val="20"/>
          <w:szCs w:val="20"/>
        </w:rPr>
        <w:t>, orientando al paciente sobre el tipo de dieta a seguir según el FG:</w:t>
      </w:r>
    </w:p>
    <w:p w:rsidR="00E81B3D" w:rsidRPr="006318BF" w:rsidRDefault="00E81B3D" w:rsidP="003F020D">
      <w:pPr>
        <w:numPr>
          <w:ilvl w:val="1"/>
          <w:numId w:val="16"/>
        </w:numPr>
        <w:spacing w:before="120" w:after="120"/>
        <w:ind w:left="1985" w:hanging="284"/>
        <w:rPr>
          <w:rFonts w:cs="Arial"/>
          <w:sz w:val="20"/>
          <w:szCs w:val="20"/>
        </w:rPr>
      </w:pPr>
      <w:r w:rsidRPr="006318BF">
        <w:rPr>
          <w:rFonts w:cs="Arial"/>
          <w:sz w:val="20"/>
          <w:szCs w:val="20"/>
        </w:rPr>
        <w:t>ERC 1-3: Sólo se recomienda dieta hiposódica en caso de HTA.</w:t>
      </w:r>
    </w:p>
    <w:p w:rsidR="00E81B3D" w:rsidRDefault="00E81B3D" w:rsidP="003F020D">
      <w:pPr>
        <w:numPr>
          <w:ilvl w:val="1"/>
          <w:numId w:val="16"/>
        </w:numPr>
        <w:spacing w:before="120" w:after="120"/>
        <w:ind w:left="1985" w:hanging="284"/>
        <w:rPr>
          <w:rFonts w:cs="Arial"/>
          <w:sz w:val="20"/>
          <w:szCs w:val="20"/>
        </w:rPr>
      </w:pPr>
      <w:r w:rsidRPr="006318BF">
        <w:rPr>
          <w:rFonts w:cs="Arial"/>
          <w:sz w:val="20"/>
          <w:szCs w:val="20"/>
        </w:rPr>
        <w:t>ERC 4-5: Recomendaciones dietéticas sobre sodio, fósforo y potasio.</w:t>
      </w:r>
    </w:p>
    <w:p w:rsidR="00E81B3D" w:rsidRPr="0049306A" w:rsidRDefault="00E81B3D" w:rsidP="003F020D">
      <w:pPr>
        <w:numPr>
          <w:ilvl w:val="0"/>
          <w:numId w:val="16"/>
        </w:numPr>
        <w:spacing w:before="120" w:after="120"/>
        <w:ind w:left="1560" w:hanging="284"/>
        <w:rPr>
          <w:rFonts w:cs="Arial"/>
          <w:sz w:val="20"/>
          <w:szCs w:val="20"/>
        </w:rPr>
      </w:pPr>
      <w:r w:rsidRPr="0049306A">
        <w:rPr>
          <w:b/>
          <w:sz w:val="20"/>
        </w:rPr>
        <w:t>Análisis de sangre y orina en cada revisión a partir de ERC 3</w:t>
      </w:r>
      <w:r w:rsidRPr="0049306A">
        <w:rPr>
          <w:sz w:val="20"/>
        </w:rPr>
        <w:t>** (en negrilla lo mínimo aconsejable):</w:t>
      </w:r>
    </w:p>
    <w:p w:rsidR="00E81B3D" w:rsidRPr="0049306A" w:rsidRDefault="00E81B3D" w:rsidP="003F020D">
      <w:pPr>
        <w:numPr>
          <w:ilvl w:val="1"/>
          <w:numId w:val="16"/>
        </w:numPr>
        <w:spacing w:before="120" w:after="120"/>
        <w:ind w:left="1985" w:hanging="284"/>
        <w:rPr>
          <w:rFonts w:cs="Arial"/>
          <w:sz w:val="20"/>
          <w:szCs w:val="20"/>
        </w:rPr>
      </w:pPr>
      <w:r w:rsidRPr="0049306A">
        <w:rPr>
          <w:rFonts w:cs="Arial"/>
          <w:b/>
          <w:sz w:val="20"/>
          <w:szCs w:val="20"/>
        </w:rPr>
        <w:t>Hemograma</w:t>
      </w:r>
      <w:r w:rsidRPr="0049306A">
        <w:rPr>
          <w:rFonts w:cs="Arial"/>
          <w:sz w:val="20"/>
          <w:szCs w:val="20"/>
        </w:rPr>
        <w:t>.</w:t>
      </w:r>
    </w:p>
    <w:p w:rsidR="00E81B3D" w:rsidRPr="00705C12" w:rsidRDefault="00E81B3D" w:rsidP="00705C12">
      <w:pPr>
        <w:numPr>
          <w:ilvl w:val="1"/>
          <w:numId w:val="16"/>
        </w:numPr>
        <w:spacing w:before="120" w:after="120"/>
        <w:ind w:left="1985" w:hanging="284"/>
        <w:rPr>
          <w:rFonts w:cs="Arial"/>
          <w:sz w:val="20"/>
          <w:szCs w:val="20"/>
        </w:rPr>
      </w:pPr>
      <w:r w:rsidRPr="00B6591E">
        <w:rPr>
          <w:rFonts w:cs="Arial"/>
          <w:b/>
          <w:sz w:val="20"/>
          <w:szCs w:val="20"/>
        </w:rPr>
        <w:t>Concentración sérica de glucosa, creatinina, urea, ion sodio, ion potasio, calcio, fosfato, albúmina y colesterol. FG estimado mediante una ecuación</w:t>
      </w:r>
      <w:r w:rsidRPr="00705C12">
        <w:rPr>
          <w:rFonts w:cs="Arial"/>
          <w:sz w:val="20"/>
          <w:szCs w:val="20"/>
        </w:rPr>
        <w:t>.</w:t>
      </w:r>
    </w:p>
    <w:p w:rsidR="00E81B3D" w:rsidRPr="0049306A" w:rsidRDefault="00E81B3D" w:rsidP="003F020D">
      <w:pPr>
        <w:numPr>
          <w:ilvl w:val="1"/>
          <w:numId w:val="16"/>
        </w:numPr>
        <w:ind w:left="1985" w:hanging="284"/>
        <w:rPr>
          <w:rFonts w:cs="Arial"/>
          <w:b/>
          <w:sz w:val="20"/>
          <w:szCs w:val="20"/>
        </w:rPr>
      </w:pPr>
      <w:r w:rsidRPr="00B6591E">
        <w:rPr>
          <w:rFonts w:cs="Arial"/>
          <w:sz w:val="20"/>
          <w:szCs w:val="20"/>
        </w:rPr>
        <w:t>C</w:t>
      </w:r>
      <w:r w:rsidRPr="0049306A">
        <w:rPr>
          <w:rFonts w:cs="Arial"/>
          <w:sz w:val="20"/>
          <w:szCs w:val="20"/>
        </w:rPr>
        <w:t xml:space="preserve">ociente albúmina/creatinina </w:t>
      </w:r>
      <w:r w:rsidRPr="0049306A">
        <w:rPr>
          <w:rFonts w:cs="Arial"/>
          <w:b/>
          <w:sz w:val="20"/>
          <w:szCs w:val="20"/>
        </w:rPr>
        <w:t>determinado en la primera orina de la mañana</w:t>
      </w:r>
    </w:p>
    <w:p w:rsidR="00E81B3D" w:rsidRPr="0049306A" w:rsidRDefault="00E81B3D" w:rsidP="003F020D">
      <w:pPr>
        <w:numPr>
          <w:ilvl w:val="1"/>
          <w:numId w:val="16"/>
        </w:numPr>
        <w:spacing w:before="120" w:after="120"/>
        <w:ind w:left="1985" w:hanging="284"/>
        <w:rPr>
          <w:rFonts w:cs="Arial"/>
          <w:sz w:val="20"/>
          <w:szCs w:val="20"/>
        </w:rPr>
      </w:pPr>
      <w:r w:rsidRPr="0049306A">
        <w:rPr>
          <w:rFonts w:cs="Arial"/>
          <w:sz w:val="20"/>
          <w:szCs w:val="20"/>
        </w:rPr>
        <w:t>Sedimento de orina.</w:t>
      </w:r>
    </w:p>
    <w:p w:rsidR="00E81B3D" w:rsidRDefault="00E81B3D" w:rsidP="005530FB">
      <w:pPr>
        <w:spacing w:before="120" w:after="120"/>
        <w:ind w:left="993"/>
        <w:rPr>
          <w:sz w:val="18"/>
        </w:rPr>
      </w:pPr>
      <w:r>
        <w:rPr>
          <w:sz w:val="18"/>
        </w:rPr>
        <w:t>*</w:t>
      </w:r>
      <w:r w:rsidRPr="0049306A">
        <w:rPr>
          <w:sz w:val="18"/>
        </w:rPr>
        <w:t xml:space="preserve">Se procurarán compaginar las extracciones para no repetirlas. Se proporcionará al paciente un informe o, en su defecto, copia de los análisis. Si las revisiones en Nefrología se realizan mensualmente no es necesario repetir los análisis en </w:t>
      </w:r>
      <w:r>
        <w:rPr>
          <w:sz w:val="18"/>
        </w:rPr>
        <w:t>atención primaria</w:t>
      </w:r>
      <w:r w:rsidRPr="0049306A">
        <w:rPr>
          <w:sz w:val="18"/>
        </w:rPr>
        <w:t>.</w:t>
      </w:r>
    </w:p>
    <w:p w:rsidR="00651852" w:rsidRPr="0049306A" w:rsidRDefault="00651852" w:rsidP="005530FB">
      <w:pPr>
        <w:spacing w:before="120" w:after="120"/>
        <w:ind w:left="993"/>
        <w:rPr>
          <w:sz w:val="18"/>
        </w:rPr>
      </w:pPr>
    </w:p>
    <w:p w:rsidR="00E81B3D" w:rsidRPr="00215D7C" w:rsidRDefault="00E81B3D" w:rsidP="00260D0A">
      <w:pPr>
        <w:pStyle w:val="Ttulo2"/>
        <w:ind w:left="993" w:hanging="426"/>
        <w:rPr>
          <w:rFonts w:ascii="Arial" w:hAnsi="Arial" w:cs="Arial"/>
          <w:i w:val="0"/>
          <w:sz w:val="20"/>
          <w:szCs w:val="20"/>
        </w:rPr>
      </w:pPr>
      <w:bookmarkStart w:id="33" w:name="_Toc341725525"/>
      <w:r w:rsidRPr="00215D7C">
        <w:rPr>
          <w:rFonts w:ascii="Arial" w:hAnsi="Arial" w:cs="Arial"/>
          <w:i w:val="0"/>
          <w:sz w:val="20"/>
          <w:szCs w:val="20"/>
        </w:rPr>
        <w:t>Prevención de la nefrotoxicidad.</w:t>
      </w:r>
      <w:bookmarkEnd w:id="31"/>
      <w:bookmarkEnd w:id="32"/>
      <w:bookmarkEnd w:id="33"/>
    </w:p>
    <w:p w:rsidR="00E81B3D" w:rsidRDefault="00E81B3D" w:rsidP="00260D0A">
      <w:pPr>
        <w:spacing w:before="120" w:after="120"/>
        <w:ind w:left="993"/>
        <w:rPr>
          <w:rFonts w:cs="Arial"/>
          <w:sz w:val="20"/>
          <w:szCs w:val="20"/>
        </w:rPr>
      </w:pPr>
      <w:r w:rsidRPr="00914C78">
        <w:rPr>
          <w:rFonts w:cs="Arial"/>
          <w:sz w:val="20"/>
          <w:szCs w:val="20"/>
        </w:rPr>
        <w:t>Una vez tenemos al paciente diagnosticado de ERC, lo más importante es evitar que esta evolucione, y para ello tendremos que</w:t>
      </w:r>
      <w:r>
        <w:rPr>
          <w:rFonts w:cs="Arial"/>
          <w:sz w:val="20"/>
          <w:szCs w:val="20"/>
        </w:rPr>
        <w:t xml:space="preserve"> </w:t>
      </w:r>
      <w:r w:rsidRPr="00914C78">
        <w:rPr>
          <w:rFonts w:cs="Arial"/>
          <w:sz w:val="20"/>
          <w:szCs w:val="20"/>
        </w:rPr>
        <w:t>conocer que existen fármacos usados en la práctica diaria y más concretamente en estos pacientes que pueden provocar empeoramiento de esta entidad y por otra parte el uso de contrastes intravenosos de una manera indiscriminada y sin preparación previa puede provocar la nefropatía inducida por contraste. Por ello hay que evitar el uso de nefrotóxicos y minimizar el efecto y el uso de los contrastes intravenosos</w:t>
      </w:r>
      <w:r>
        <w:rPr>
          <w:rFonts w:cs="Arial"/>
          <w:sz w:val="20"/>
          <w:szCs w:val="20"/>
        </w:rPr>
        <w:t>.</w:t>
      </w:r>
    </w:p>
    <w:p w:rsidR="00E81B3D" w:rsidRPr="00742368" w:rsidRDefault="00E81B3D" w:rsidP="003F020D">
      <w:pPr>
        <w:pStyle w:val="Ttulo3"/>
        <w:numPr>
          <w:ilvl w:val="0"/>
          <w:numId w:val="28"/>
        </w:numPr>
        <w:rPr>
          <w:rFonts w:ascii="Arial" w:hAnsi="Arial" w:cs="Arial"/>
          <w:sz w:val="20"/>
          <w:szCs w:val="20"/>
          <w:u w:val="single"/>
        </w:rPr>
      </w:pPr>
      <w:r w:rsidRPr="00742368">
        <w:rPr>
          <w:rFonts w:ascii="Arial" w:hAnsi="Arial" w:cs="Arial"/>
          <w:sz w:val="20"/>
          <w:szCs w:val="20"/>
        </w:rPr>
        <w:t>Evitar nefrotóxicos.</w:t>
      </w:r>
    </w:p>
    <w:p w:rsidR="00E81B3D" w:rsidRDefault="00E81B3D" w:rsidP="003F020D">
      <w:pPr>
        <w:numPr>
          <w:ilvl w:val="0"/>
          <w:numId w:val="25"/>
        </w:numPr>
        <w:spacing w:before="120" w:after="120"/>
        <w:ind w:left="1843" w:hanging="283"/>
        <w:rPr>
          <w:rFonts w:cs="Arial"/>
          <w:sz w:val="20"/>
          <w:szCs w:val="20"/>
        </w:rPr>
      </w:pPr>
      <w:r w:rsidRPr="00914C78">
        <w:rPr>
          <w:rFonts w:cs="Arial"/>
          <w:sz w:val="20"/>
          <w:szCs w:val="20"/>
        </w:rPr>
        <w:t xml:space="preserve">Evitar la hiperpotasemia asociada a fármacos. Especial precaución debe tenerse con la asociación de un diurético ahorrador de potasio </w:t>
      </w:r>
      <w:r w:rsidR="00981DFF">
        <w:rPr>
          <w:sz w:val="20"/>
          <w:szCs w:val="20"/>
        </w:rPr>
        <w:t>(espironolactona, amiloride</w:t>
      </w:r>
      <w:r w:rsidR="00981DFF" w:rsidRPr="00981DFF">
        <w:rPr>
          <w:sz w:val="20"/>
          <w:szCs w:val="20"/>
        </w:rPr>
        <w:t>, triamterene, eplerenona</w:t>
      </w:r>
      <w:r w:rsidRPr="00981DFF">
        <w:rPr>
          <w:rFonts w:cs="Arial"/>
          <w:sz w:val="20"/>
          <w:szCs w:val="20"/>
        </w:rPr>
        <w:t>) a otro fármaco que retenga potasio (IECAs, ARAII, Inhibidores directos de renina,  AINEs, Betabloqueantes). En estos casos la monitorización frecuente del potasio</w:t>
      </w:r>
      <w:r w:rsidRPr="00914C78">
        <w:rPr>
          <w:rFonts w:cs="Arial"/>
          <w:sz w:val="20"/>
          <w:szCs w:val="20"/>
        </w:rPr>
        <w:t xml:space="preserve"> sérico es obligada.</w:t>
      </w:r>
    </w:p>
    <w:p w:rsidR="00E81B3D" w:rsidRPr="007E74F2" w:rsidRDefault="00E81B3D" w:rsidP="003F020D">
      <w:pPr>
        <w:numPr>
          <w:ilvl w:val="0"/>
          <w:numId w:val="25"/>
        </w:numPr>
        <w:spacing w:before="120" w:after="120"/>
        <w:ind w:left="1843" w:hanging="283"/>
        <w:rPr>
          <w:rFonts w:cs="Arial"/>
          <w:sz w:val="20"/>
          <w:szCs w:val="20"/>
        </w:rPr>
      </w:pPr>
      <w:r w:rsidRPr="007E74F2">
        <w:rPr>
          <w:rFonts w:cs="Arial"/>
          <w:sz w:val="20"/>
          <w:szCs w:val="20"/>
        </w:rPr>
        <w:t>Evitar el uso de fármacos que producen depleción brusca de volumen y que pueden provocar daño tubular sobretodo en situaciones de deshidratación, así como aquellos con efecto directo negativo sobre el túbulo (aminoglucosidos, tacrolimus, ciclosporina A)</w:t>
      </w:r>
    </w:p>
    <w:p w:rsidR="00E81B3D" w:rsidRPr="007E74F2" w:rsidRDefault="00E81B3D" w:rsidP="003F020D">
      <w:pPr>
        <w:numPr>
          <w:ilvl w:val="0"/>
          <w:numId w:val="25"/>
        </w:numPr>
        <w:spacing w:before="120" w:after="120"/>
        <w:ind w:left="1843" w:hanging="283"/>
        <w:rPr>
          <w:rFonts w:cs="Arial"/>
          <w:sz w:val="20"/>
          <w:szCs w:val="20"/>
        </w:rPr>
      </w:pPr>
      <w:r w:rsidRPr="007E74F2">
        <w:rPr>
          <w:rFonts w:cs="Arial"/>
          <w:sz w:val="20"/>
          <w:szCs w:val="20"/>
        </w:rPr>
        <w:t xml:space="preserve">Se debe hacer especial énfasis en </w:t>
      </w:r>
      <w:r w:rsidRPr="007E74F2">
        <w:rPr>
          <w:rFonts w:cs="Arial"/>
          <w:b/>
          <w:sz w:val="20"/>
          <w:szCs w:val="20"/>
        </w:rPr>
        <w:t>evitar el uso innecesario de AINE</w:t>
      </w:r>
      <w:r w:rsidRPr="007E74F2">
        <w:rPr>
          <w:rFonts w:cs="Arial"/>
          <w:sz w:val="20"/>
          <w:szCs w:val="20"/>
        </w:rPr>
        <w:t>, por el riesgo de deterioro de la función renal.</w:t>
      </w:r>
    </w:p>
    <w:p w:rsidR="00E81B3D" w:rsidRPr="007E74F2" w:rsidRDefault="00E81B3D" w:rsidP="003F020D">
      <w:pPr>
        <w:numPr>
          <w:ilvl w:val="0"/>
          <w:numId w:val="25"/>
        </w:numPr>
        <w:spacing w:before="120" w:after="120"/>
        <w:ind w:left="1843" w:hanging="283"/>
        <w:rPr>
          <w:rFonts w:cs="Arial"/>
          <w:sz w:val="20"/>
          <w:szCs w:val="20"/>
        </w:rPr>
      </w:pPr>
      <w:r w:rsidRPr="007E74F2">
        <w:rPr>
          <w:rFonts w:cs="Arial"/>
          <w:sz w:val="20"/>
          <w:szCs w:val="20"/>
        </w:rPr>
        <w:t xml:space="preserve">Ajustar los fármacos al FG, especialmente en el anciano y en el diabético. En estos pacientes deben utilizarse con precaución la metformina y antidiabéticos orales de eliminación renal, nuevos anticoagulantes, antibióticos, heparinas y evitarse su uso </w:t>
      </w:r>
      <w:r w:rsidRPr="0049306A">
        <w:rPr>
          <w:rFonts w:cs="Arial"/>
          <w:sz w:val="20"/>
          <w:szCs w:val="20"/>
        </w:rPr>
        <w:t xml:space="preserve">si FG &lt; 30 </w:t>
      </w:r>
      <w:r w:rsidRPr="0049306A">
        <w:rPr>
          <w:b/>
          <w:sz w:val="18"/>
          <w:szCs w:val="18"/>
        </w:rPr>
        <w:t>ml/min/1,73 m</w:t>
      </w:r>
      <w:r w:rsidRPr="0049306A">
        <w:rPr>
          <w:b/>
          <w:sz w:val="18"/>
          <w:szCs w:val="18"/>
          <w:vertAlign w:val="superscript"/>
        </w:rPr>
        <w:t>2</w:t>
      </w:r>
      <w:r w:rsidRPr="0049306A">
        <w:rPr>
          <w:rFonts w:cs="Arial"/>
          <w:sz w:val="20"/>
          <w:szCs w:val="20"/>
        </w:rPr>
        <w:t>. Se puede consultar el listado de fármacos para ajustar dosis en</w:t>
      </w:r>
      <w:r w:rsidRPr="007E74F2">
        <w:rPr>
          <w:rFonts w:cs="Arial"/>
          <w:sz w:val="20"/>
          <w:szCs w:val="20"/>
        </w:rPr>
        <w:t xml:space="preserve">: </w:t>
      </w:r>
      <w:hyperlink r:id="rId30" w:history="1">
        <w:r w:rsidRPr="007E74F2">
          <w:rPr>
            <w:rStyle w:val="Hipervnculo"/>
            <w:color w:val="auto"/>
            <w:sz w:val="20"/>
            <w:szCs w:val="20"/>
          </w:rPr>
          <w:t>http://nefrologiadigital.revistanefrologia.com/modules.php?name=libro&amp;op=viewCap&amp;idpublication=1&amp;idedition=13&amp;idcapitulo=109</w:t>
        </w:r>
      </w:hyperlink>
      <w:r>
        <w:rPr>
          <w:sz w:val="20"/>
          <w:szCs w:val="20"/>
        </w:rPr>
        <w:t>.</w:t>
      </w:r>
    </w:p>
    <w:p w:rsidR="00E81B3D" w:rsidRPr="009F6D50" w:rsidRDefault="00E81B3D" w:rsidP="003F020D">
      <w:pPr>
        <w:pStyle w:val="Ttulo3"/>
        <w:numPr>
          <w:ilvl w:val="0"/>
          <w:numId w:val="28"/>
        </w:numPr>
        <w:rPr>
          <w:rFonts w:ascii="Arial" w:hAnsi="Arial" w:cs="Arial"/>
          <w:sz w:val="20"/>
          <w:szCs w:val="20"/>
        </w:rPr>
      </w:pPr>
      <w:r w:rsidRPr="009F6D50">
        <w:rPr>
          <w:rFonts w:ascii="Arial" w:hAnsi="Arial" w:cs="Arial"/>
          <w:sz w:val="20"/>
          <w:szCs w:val="20"/>
        </w:rPr>
        <w:lastRenderedPageBreak/>
        <w:t>Minimizar el uso de contrastes intravenosos.</w:t>
      </w:r>
    </w:p>
    <w:p w:rsidR="00E81B3D" w:rsidRPr="0049306A" w:rsidRDefault="00E81B3D" w:rsidP="00260D0A">
      <w:pPr>
        <w:spacing w:before="120" w:after="120"/>
        <w:ind w:left="1418"/>
        <w:rPr>
          <w:rFonts w:cs="Arial"/>
          <w:sz w:val="20"/>
          <w:szCs w:val="20"/>
        </w:rPr>
      </w:pPr>
      <w:r w:rsidRPr="00914C78">
        <w:rPr>
          <w:rFonts w:cs="Arial"/>
          <w:sz w:val="20"/>
          <w:szCs w:val="20"/>
        </w:rPr>
        <w:t xml:space="preserve">La nefropatía inducida por contraste (NIC) se define como un deterioro de la función renal traducido en un aumento relativo de la creatinina un 25%, o un aumento absoluto de creatinina de 0,5 mg/dl respecto a la basal que ocurre durante los 3 primeros días tras la administración de </w:t>
      </w:r>
      <w:r w:rsidRPr="0049306A">
        <w:rPr>
          <w:rFonts w:cs="Arial"/>
          <w:sz w:val="20"/>
          <w:szCs w:val="20"/>
        </w:rPr>
        <w:t>contraste y que no se debe a ningún otro mecanismo.</w:t>
      </w:r>
    </w:p>
    <w:p w:rsidR="00E81B3D" w:rsidRDefault="00E81B3D" w:rsidP="007E74F2">
      <w:pPr>
        <w:spacing w:before="120" w:after="120"/>
        <w:ind w:left="1418"/>
        <w:rPr>
          <w:rFonts w:cs="Arial"/>
          <w:sz w:val="20"/>
          <w:szCs w:val="20"/>
        </w:rPr>
      </w:pPr>
      <w:r w:rsidRPr="0049306A">
        <w:rPr>
          <w:rFonts w:cs="Arial"/>
          <w:sz w:val="20"/>
          <w:szCs w:val="20"/>
        </w:rPr>
        <w:t>En general se produce por el efecto directo del contraste disminuyendo la perfusión renal, las alteraciones reológicas en el túbulo renal debidas aumento de la viscosidad sanguínea que provoca el contraste y efecto tóxico directo sobre las células tubulares</w:t>
      </w:r>
      <w:r w:rsidRPr="0049306A">
        <w:rPr>
          <w:rStyle w:val="Refdenotaalfinal"/>
          <w:sz w:val="20"/>
          <w:szCs w:val="20"/>
        </w:rPr>
        <w:endnoteReference w:id="69"/>
      </w:r>
      <w:r w:rsidRPr="0049306A">
        <w:rPr>
          <w:rFonts w:cs="Arial"/>
          <w:sz w:val="20"/>
          <w:szCs w:val="20"/>
        </w:rPr>
        <w:t>. Entre todos los procedimientos en los que se utiliza contraste intravenoso, las intervenciones sobre las arterias coronarias son las que más se asocian al desarrollo</w:t>
      </w:r>
      <w:r w:rsidRPr="00194144">
        <w:rPr>
          <w:rFonts w:cs="Arial"/>
          <w:sz w:val="20"/>
          <w:szCs w:val="20"/>
        </w:rPr>
        <w:t xml:space="preserve"> de NIC (desde 3,3% al 19%)</w:t>
      </w:r>
      <w:r>
        <w:rPr>
          <w:rStyle w:val="Refdenotaalfinal"/>
          <w:sz w:val="20"/>
          <w:szCs w:val="20"/>
        </w:rPr>
        <w:endnoteReference w:id="70"/>
      </w:r>
      <w:r>
        <w:rPr>
          <w:rFonts w:cs="Arial"/>
          <w:sz w:val="20"/>
          <w:szCs w:val="20"/>
        </w:rPr>
        <w:t xml:space="preserve">. </w:t>
      </w:r>
    </w:p>
    <w:p w:rsidR="00E81B3D" w:rsidRPr="0049306A" w:rsidRDefault="00E81B3D" w:rsidP="00260D0A">
      <w:pPr>
        <w:spacing w:before="120" w:after="120"/>
        <w:ind w:left="1418"/>
        <w:rPr>
          <w:rFonts w:cs="Arial"/>
          <w:sz w:val="20"/>
          <w:szCs w:val="20"/>
        </w:rPr>
      </w:pPr>
      <w:r w:rsidRPr="0049306A">
        <w:rPr>
          <w:rFonts w:cs="Arial"/>
          <w:sz w:val="20"/>
          <w:szCs w:val="20"/>
        </w:rPr>
        <w:t>Lo más importante para prevenir la nefropatía por contraste es detectar aquellos pacientes en riesgo de desarrollarla (edad avanzada, insuficiencia cardiaca</w:t>
      </w:r>
      <w:r w:rsidRPr="0049306A">
        <w:rPr>
          <w:rFonts w:cs="Arial"/>
          <w:strike/>
          <w:sz w:val="20"/>
          <w:szCs w:val="20"/>
        </w:rPr>
        <w:t xml:space="preserve"> </w:t>
      </w:r>
      <w:r w:rsidRPr="0049306A">
        <w:rPr>
          <w:rFonts w:cs="Arial"/>
          <w:sz w:val="20"/>
          <w:szCs w:val="20"/>
        </w:rPr>
        <w:t>DM, ERC previa, deshidratación, IAM, shock, volumen de contraste, anemia hipotensión, uso de nefrotóxicos). La administración de tratamiento profiláctico antes de la administración del contaste puede evitar complicaciones y disminuir el tiempo de hospitalización. Para ello se ha utilizado la profilaxis con N-acetilcisteína (1.200 mg oral antes del procedimiento y cada 12 horas los 2 días siguientes al procedimiento)</w:t>
      </w:r>
      <w:r w:rsidRPr="0049306A">
        <w:rPr>
          <w:rStyle w:val="Refdenotaalfinal"/>
          <w:sz w:val="20"/>
          <w:szCs w:val="20"/>
        </w:rPr>
        <w:endnoteReference w:id="71"/>
      </w:r>
      <w:r w:rsidRPr="0049306A">
        <w:rPr>
          <w:rFonts w:cs="Arial"/>
          <w:sz w:val="20"/>
          <w:szCs w:val="20"/>
        </w:rPr>
        <w:t>y sobre todo un correcto estado de hidratación mediante fluidoterapia intravenosa e hidratación oral es la mejor pauta para prevenir la NIC sobre todo en pacientes de riesgo medio-alto (suero salino fisiológico (0,9%) iniciado 12 horas antes de procedimiento a una velocidad de 1 ml/kg/hora y mantenerlo hasta 24 horas tras su finalización más la ingesta de 500 ml de líquidos (agua, té, etc.) el día de la realización de la prueba y hasta 2.500 ml las 24 horas después</w:t>
      </w:r>
      <w:r w:rsidRPr="0049306A">
        <w:rPr>
          <w:rStyle w:val="Refdenotaalfinal"/>
          <w:sz w:val="20"/>
          <w:szCs w:val="20"/>
        </w:rPr>
        <w:endnoteReference w:id="72"/>
      </w:r>
      <w:r w:rsidRPr="0049306A">
        <w:rPr>
          <w:rFonts w:cs="Arial"/>
          <w:sz w:val="20"/>
          <w:szCs w:val="20"/>
        </w:rPr>
        <w:t xml:space="preserve">. </w:t>
      </w:r>
    </w:p>
    <w:p w:rsidR="00E81B3D" w:rsidRPr="00DE0810" w:rsidRDefault="00E81B3D" w:rsidP="00E52F97">
      <w:pPr>
        <w:spacing w:before="120" w:after="120"/>
        <w:ind w:left="1418"/>
        <w:rPr>
          <w:rFonts w:cs="Arial"/>
          <w:color w:val="00FFFF"/>
          <w:sz w:val="20"/>
          <w:szCs w:val="20"/>
        </w:rPr>
      </w:pPr>
      <w:r w:rsidRPr="0049306A">
        <w:rPr>
          <w:rFonts w:cs="Arial"/>
          <w:sz w:val="20"/>
          <w:szCs w:val="20"/>
        </w:rPr>
        <w:t>Junto con ello, debemos de detectar fármacos concomitantes potencialmente perjudiciales. Sobre todo aquellos fármacos que afectan a la hemodinámica renal (AINES e I</w:t>
      </w:r>
      <w:r>
        <w:rPr>
          <w:rFonts w:cs="Arial"/>
          <w:sz w:val="20"/>
          <w:szCs w:val="20"/>
        </w:rPr>
        <w:t xml:space="preserve">nhibidores de </w:t>
      </w:r>
      <w:r w:rsidRPr="0049306A">
        <w:rPr>
          <w:rFonts w:cs="Arial"/>
          <w:sz w:val="20"/>
          <w:szCs w:val="20"/>
        </w:rPr>
        <w:t>COX 2 que deben suspenderse antes de administrar el contraste por el riesgo aumentado de fracaso renal al alterar el mecanismo hemodinámico glomerular), así como el uso concomitante de diuréticos, especialmente a altas dosis. Además se deberá ajustar el tratamiento antihipertensivo para evitar cifras de tensión arterial 20-30 mmHg más bajas de las habituales del enfermo, y en la medida de lo posible no administrar contraste si la presión arterial es inaceptablemente baja. (IECA y los ARA II se asocian más frecuentemente a la NIC, especialmente en pacientes en situación de depleción)</w:t>
      </w:r>
      <w:r w:rsidRPr="0049306A">
        <w:rPr>
          <w:rStyle w:val="Refdenotaalfinal"/>
          <w:sz w:val="20"/>
          <w:szCs w:val="20"/>
        </w:rPr>
        <w:endnoteReference w:id="73"/>
      </w:r>
      <w:r w:rsidRPr="0049306A">
        <w:rPr>
          <w:rFonts w:cs="Arial"/>
          <w:sz w:val="20"/>
          <w:szCs w:val="20"/>
        </w:rPr>
        <w:t xml:space="preserve">. </w:t>
      </w:r>
      <w:r w:rsidRPr="008D51B2">
        <w:rPr>
          <w:rFonts w:cs="Arial"/>
          <w:sz w:val="20"/>
          <w:szCs w:val="20"/>
        </w:rPr>
        <w:t>Evitar fármacos que causan toxicidad tubular como los diuréticos por su riesgo de hipovolemia, aminoglucósidos, tacrólimus y ciclosporina A</w:t>
      </w:r>
      <w:r>
        <w:rPr>
          <w:rFonts w:cs="Arial"/>
          <w:sz w:val="20"/>
          <w:szCs w:val="20"/>
        </w:rPr>
        <w:t>.</w:t>
      </w:r>
      <w:r w:rsidRPr="00DE0810">
        <w:rPr>
          <w:rFonts w:cs="Arial"/>
          <w:i/>
          <w:color w:val="FF0000"/>
          <w:sz w:val="20"/>
          <w:szCs w:val="20"/>
        </w:rPr>
        <w:t xml:space="preserve"> </w:t>
      </w:r>
    </w:p>
    <w:p w:rsidR="00E81B3D" w:rsidRPr="0049306A" w:rsidRDefault="00E81B3D" w:rsidP="00260D0A">
      <w:pPr>
        <w:spacing w:before="120" w:after="120"/>
        <w:ind w:left="1418"/>
        <w:rPr>
          <w:rFonts w:cs="Arial"/>
          <w:sz w:val="20"/>
          <w:szCs w:val="20"/>
        </w:rPr>
      </w:pPr>
      <w:r w:rsidRPr="0049306A">
        <w:rPr>
          <w:rFonts w:cs="Arial"/>
          <w:sz w:val="20"/>
          <w:szCs w:val="20"/>
        </w:rPr>
        <w:t>Y por último hay que tener en cuenta los fármacos que son potencialmente tóxicos tras la administración de contraste como por ejemplo la metformina. Sin embargo en la actualidad, no existe evidencia suficiente para tener que suspenderla en pacientes con función renal previa normal a los que se les administra una cantidad “moderada” de contraste</w:t>
      </w:r>
      <w:r w:rsidRPr="0049306A">
        <w:rPr>
          <w:rStyle w:val="Refdenotaalfinal"/>
          <w:sz w:val="20"/>
          <w:szCs w:val="20"/>
        </w:rPr>
        <w:endnoteReference w:id="74"/>
      </w:r>
      <w:r w:rsidRPr="0049306A">
        <w:rPr>
          <w:rFonts w:cs="Arial"/>
          <w:sz w:val="20"/>
          <w:szCs w:val="20"/>
        </w:rPr>
        <w:t>. En cuanto al seguimiento de un paciente que ha sufrido una NIC, debe monitorizarse su función renal hasta que recupere sus cifras de creatinina basales.</w:t>
      </w:r>
    </w:p>
    <w:p w:rsidR="00E81B3D" w:rsidRDefault="00E81B3D" w:rsidP="007E74F2">
      <w:pPr>
        <w:spacing w:before="120" w:after="120"/>
        <w:ind w:left="1418"/>
        <w:rPr>
          <w:rFonts w:cs="Arial"/>
          <w:sz w:val="20"/>
          <w:szCs w:val="20"/>
        </w:rPr>
      </w:pPr>
    </w:p>
    <w:p w:rsidR="00E81B3D" w:rsidRPr="00215D7C" w:rsidRDefault="00E81B3D" w:rsidP="00B62C24">
      <w:pPr>
        <w:pStyle w:val="Ttulo2"/>
        <w:ind w:left="993" w:hanging="426"/>
        <w:rPr>
          <w:rFonts w:ascii="Arial" w:hAnsi="Arial" w:cs="Arial"/>
          <w:i w:val="0"/>
          <w:sz w:val="20"/>
          <w:szCs w:val="20"/>
        </w:rPr>
      </w:pPr>
      <w:bookmarkStart w:id="34" w:name="_Toc316486465"/>
      <w:bookmarkStart w:id="35" w:name="_Toc316486564"/>
      <w:bookmarkStart w:id="36" w:name="_Toc341725526"/>
      <w:r w:rsidRPr="00215D7C">
        <w:rPr>
          <w:rFonts w:ascii="Arial" w:hAnsi="Arial" w:cs="Arial"/>
          <w:i w:val="0"/>
          <w:sz w:val="20"/>
          <w:szCs w:val="20"/>
        </w:rPr>
        <w:t>Detección de lesión orgánica cardiovascular asintomática en la ERC.</w:t>
      </w:r>
      <w:bookmarkEnd w:id="34"/>
      <w:bookmarkEnd w:id="35"/>
      <w:bookmarkEnd w:id="36"/>
    </w:p>
    <w:p w:rsidR="00E81B3D" w:rsidRDefault="00E81B3D" w:rsidP="006211D6">
      <w:pPr>
        <w:spacing w:before="120" w:after="120"/>
        <w:ind w:left="993"/>
        <w:rPr>
          <w:rFonts w:cs="Arial"/>
          <w:sz w:val="20"/>
          <w:szCs w:val="20"/>
        </w:rPr>
      </w:pPr>
      <w:bookmarkStart w:id="37" w:name="_Toc316486467"/>
      <w:bookmarkStart w:id="38" w:name="_Toc316486566"/>
      <w:r w:rsidRPr="00194144">
        <w:rPr>
          <w:rFonts w:cs="Arial"/>
          <w:sz w:val="20"/>
          <w:szCs w:val="20"/>
        </w:rPr>
        <w:t>La</w:t>
      </w:r>
      <w:r>
        <w:rPr>
          <w:rFonts w:cs="Arial"/>
          <w:sz w:val="20"/>
          <w:szCs w:val="20"/>
        </w:rPr>
        <w:t xml:space="preserve"> ERC</w:t>
      </w:r>
      <w:r w:rsidRPr="00194144">
        <w:rPr>
          <w:rFonts w:cs="Arial"/>
          <w:sz w:val="20"/>
          <w:szCs w:val="20"/>
        </w:rPr>
        <w:t xml:space="preserve"> comporta un claro incremento del riesgo de la patología cardiovascular (CV) subclínica y consecuentemente de la morbi-mortalidad</w:t>
      </w:r>
      <w:r>
        <w:rPr>
          <w:rFonts w:cs="Arial"/>
          <w:sz w:val="20"/>
          <w:szCs w:val="20"/>
        </w:rPr>
        <w:t xml:space="preserve"> </w:t>
      </w:r>
      <w:r w:rsidRPr="00194144">
        <w:rPr>
          <w:rFonts w:cs="Arial"/>
          <w:sz w:val="20"/>
          <w:szCs w:val="20"/>
        </w:rPr>
        <w:t>que se deriva de su progresión. Por tanto, su detección precoz es un objetivo fundamental en el manejo de la ERC.</w:t>
      </w:r>
      <w:r>
        <w:rPr>
          <w:rFonts w:cs="Arial"/>
          <w:sz w:val="20"/>
          <w:szCs w:val="20"/>
        </w:rPr>
        <w:t xml:space="preserve"> </w:t>
      </w:r>
      <w:r w:rsidRPr="00194144">
        <w:rPr>
          <w:rFonts w:cs="Arial"/>
          <w:sz w:val="20"/>
          <w:szCs w:val="20"/>
        </w:rPr>
        <w:t>En este sentido hay que recordar que el uso de las tablas de riesgo convencionales ofrece li</w:t>
      </w:r>
      <w:r>
        <w:rPr>
          <w:rFonts w:cs="Arial"/>
          <w:sz w:val="20"/>
          <w:szCs w:val="20"/>
        </w:rPr>
        <w:t>mitaciones en los pacientes ERC</w:t>
      </w:r>
      <w:r>
        <w:rPr>
          <w:rStyle w:val="Refdenotaalfinal"/>
          <w:sz w:val="20"/>
          <w:szCs w:val="20"/>
        </w:rPr>
        <w:endnoteReference w:id="75"/>
      </w:r>
      <w:r w:rsidRPr="00194144">
        <w:rPr>
          <w:rFonts w:cs="Arial"/>
          <w:sz w:val="20"/>
          <w:szCs w:val="20"/>
        </w:rPr>
        <w:t xml:space="preserve"> ya que en ellas no se considera</w:t>
      </w:r>
      <w:r>
        <w:rPr>
          <w:rFonts w:cs="Arial"/>
          <w:sz w:val="20"/>
          <w:szCs w:val="20"/>
        </w:rPr>
        <w:t xml:space="preserve"> </w:t>
      </w:r>
      <w:r w:rsidRPr="00194144">
        <w:rPr>
          <w:rFonts w:cs="Arial"/>
          <w:sz w:val="20"/>
          <w:szCs w:val="20"/>
        </w:rPr>
        <w:t>el impacto de factores relevantes en la patogenia de la aterosclerosis en la ERC,como son la anemia, la inflamación crónica, el estrés oxidativo o las alter</w:t>
      </w:r>
      <w:r>
        <w:rPr>
          <w:rFonts w:cs="Arial"/>
          <w:sz w:val="20"/>
          <w:szCs w:val="20"/>
        </w:rPr>
        <w:t>aciones del metabolismo fosfo-cá</w:t>
      </w:r>
      <w:r w:rsidRPr="00194144">
        <w:rPr>
          <w:rFonts w:cs="Arial"/>
          <w:sz w:val="20"/>
          <w:szCs w:val="20"/>
        </w:rPr>
        <w:t>lcico. Por tanto, desde un punto de vista práctico es necesario disponer de exploraciones</w:t>
      </w:r>
      <w:r>
        <w:rPr>
          <w:rFonts w:cs="Arial"/>
          <w:sz w:val="20"/>
          <w:szCs w:val="20"/>
        </w:rPr>
        <w:t xml:space="preserve"> </w:t>
      </w:r>
      <w:r w:rsidRPr="00194144">
        <w:rPr>
          <w:rFonts w:cs="Arial"/>
          <w:sz w:val="20"/>
          <w:szCs w:val="20"/>
        </w:rPr>
        <w:t>no invasivas</w:t>
      </w:r>
      <w:r>
        <w:rPr>
          <w:rFonts w:cs="Arial"/>
          <w:sz w:val="20"/>
          <w:szCs w:val="20"/>
        </w:rPr>
        <w:t xml:space="preserve"> </w:t>
      </w:r>
      <w:r w:rsidRPr="00194144">
        <w:rPr>
          <w:rFonts w:cs="Arial"/>
          <w:sz w:val="20"/>
          <w:szCs w:val="20"/>
        </w:rPr>
        <w:t>que permitan al clínico</w:t>
      </w:r>
      <w:r>
        <w:rPr>
          <w:rFonts w:cs="Arial"/>
          <w:sz w:val="20"/>
          <w:szCs w:val="20"/>
        </w:rPr>
        <w:t xml:space="preserve"> </w:t>
      </w:r>
      <w:r w:rsidRPr="00194144">
        <w:rPr>
          <w:rFonts w:cs="Arial"/>
          <w:sz w:val="20"/>
          <w:szCs w:val="20"/>
        </w:rPr>
        <w:t>detectar a los pacientes con un riesgo aumentado de enfermedad CV</w:t>
      </w:r>
      <w:r>
        <w:rPr>
          <w:rFonts w:cs="Arial"/>
          <w:sz w:val="20"/>
          <w:szCs w:val="20"/>
        </w:rPr>
        <w:t>.</w:t>
      </w:r>
    </w:p>
    <w:p w:rsidR="00E81B3D" w:rsidRPr="007E74F2" w:rsidRDefault="00E81B3D" w:rsidP="003F020D">
      <w:pPr>
        <w:numPr>
          <w:ilvl w:val="0"/>
          <w:numId w:val="26"/>
        </w:numPr>
        <w:spacing w:before="120" w:after="120"/>
        <w:ind w:left="1418" w:hanging="284"/>
        <w:rPr>
          <w:rFonts w:cs="Arial"/>
          <w:sz w:val="20"/>
          <w:szCs w:val="20"/>
        </w:rPr>
      </w:pPr>
      <w:r w:rsidRPr="007E74F2">
        <w:rPr>
          <w:rFonts w:cs="Arial"/>
          <w:b/>
          <w:sz w:val="20"/>
          <w:szCs w:val="20"/>
        </w:rPr>
        <w:t>Hipertrofia ventricular izquierda:</w:t>
      </w:r>
      <w:r w:rsidRPr="007E74F2">
        <w:rPr>
          <w:rFonts w:cs="Arial"/>
          <w:sz w:val="20"/>
          <w:szCs w:val="20"/>
        </w:rPr>
        <w:t xml:space="preserve"> la hipertrofia de ventrículo izquierdo es un factor independiente de</w:t>
      </w:r>
      <w:r>
        <w:rPr>
          <w:rFonts w:cs="Arial"/>
          <w:sz w:val="20"/>
          <w:szCs w:val="20"/>
        </w:rPr>
        <w:t xml:space="preserve"> riesgo CV, por lo que su diagnó</w:t>
      </w:r>
      <w:r w:rsidRPr="007E74F2">
        <w:rPr>
          <w:rFonts w:cs="Arial"/>
          <w:sz w:val="20"/>
          <w:szCs w:val="20"/>
        </w:rPr>
        <w:t xml:space="preserve">stico mediante la determinación del producto electrocardiográfico de Cornell (&gt; 2440 mm x ms) podría ser </w:t>
      </w:r>
      <w:r w:rsidRPr="00AE5F1B">
        <w:rPr>
          <w:rFonts w:cs="Arial"/>
          <w:sz w:val="20"/>
          <w:szCs w:val="20"/>
        </w:rPr>
        <w:t>útil</w:t>
      </w:r>
      <w:r>
        <w:rPr>
          <w:rFonts w:cs="Arial"/>
          <w:sz w:val="20"/>
          <w:szCs w:val="20"/>
        </w:rPr>
        <w:t xml:space="preserve"> </w:t>
      </w:r>
      <w:r w:rsidRPr="007E74F2">
        <w:rPr>
          <w:rFonts w:cs="Arial"/>
          <w:sz w:val="20"/>
          <w:szCs w:val="20"/>
        </w:rPr>
        <w:t>dada su simplicidad. El problema es que en población con ERC es una prueba con una sensibilidad baja (40%)</w:t>
      </w:r>
      <w:r w:rsidRPr="007E74F2">
        <w:rPr>
          <w:rStyle w:val="Refdenotaalfinal"/>
          <w:sz w:val="20"/>
          <w:szCs w:val="20"/>
        </w:rPr>
        <w:endnoteReference w:id="76"/>
      </w:r>
      <w:r>
        <w:rPr>
          <w:rFonts w:cs="Arial"/>
          <w:sz w:val="20"/>
          <w:szCs w:val="20"/>
        </w:rPr>
        <w:t xml:space="preserve"> en relación a la ecoc</w:t>
      </w:r>
      <w:r w:rsidRPr="007E74F2">
        <w:rPr>
          <w:rFonts w:cs="Arial"/>
          <w:sz w:val="20"/>
          <w:szCs w:val="20"/>
        </w:rPr>
        <w:t xml:space="preserve">ardiografía. </w:t>
      </w:r>
    </w:p>
    <w:p w:rsidR="00E81B3D" w:rsidRPr="005E32F0" w:rsidRDefault="00E81B3D" w:rsidP="003F020D">
      <w:pPr>
        <w:numPr>
          <w:ilvl w:val="0"/>
          <w:numId w:val="26"/>
        </w:numPr>
        <w:spacing w:before="120" w:after="120"/>
        <w:ind w:left="1418" w:hanging="284"/>
        <w:rPr>
          <w:rFonts w:cs="Arial"/>
          <w:sz w:val="20"/>
          <w:szCs w:val="20"/>
        </w:rPr>
      </w:pPr>
      <w:r w:rsidRPr="007E74F2">
        <w:rPr>
          <w:rFonts w:cs="Arial"/>
          <w:b/>
          <w:sz w:val="20"/>
          <w:szCs w:val="20"/>
        </w:rPr>
        <w:t>Enfermedad vascular periférica:</w:t>
      </w:r>
      <w:r w:rsidRPr="007E74F2">
        <w:rPr>
          <w:rFonts w:cs="Arial"/>
          <w:sz w:val="20"/>
          <w:szCs w:val="20"/>
        </w:rPr>
        <w:t xml:space="preserve"> los pacientes con ERC tienen un riesgo de presentar enfermedad arterial periférica que dobla el de la población general</w:t>
      </w:r>
      <w:r w:rsidRPr="007E74F2">
        <w:rPr>
          <w:rStyle w:val="Refdenotaalfinal"/>
          <w:sz w:val="20"/>
          <w:szCs w:val="20"/>
        </w:rPr>
        <w:endnoteReference w:id="77"/>
      </w:r>
      <w:r w:rsidRPr="007E74F2">
        <w:rPr>
          <w:rFonts w:cs="Arial"/>
          <w:sz w:val="20"/>
          <w:szCs w:val="20"/>
        </w:rPr>
        <w:t xml:space="preserve">, y la existencia de esta patología multiplica por seis el riesgo de muerte por enfermedad coronaria. Por tanto, una </w:t>
      </w:r>
      <w:r w:rsidRPr="007E74F2">
        <w:rPr>
          <w:rFonts w:cs="Arial"/>
          <w:sz w:val="20"/>
          <w:szCs w:val="20"/>
        </w:rPr>
        <w:lastRenderedPageBreak/>
        <w:t>exploración relativamente sencilla como es la determinación del índice tobillo-brazo, puede permitirnos la identificación de pacientes con</w:t>
      </w:r>
      <w:r>
        <w:rPr>
          <w:rFonts w:cs="Arial"/>
          <w:sz w:val="20"/>
          <w:szCs w:val="20"/>
        </w:rPr>
        <w:t xml:space="preserve"> </w:t>
      </w:r>
      <w:r w:rsidRPr="007E74F2">
        <w:rPr>
          <w:rFonts w:cs="Arial"/>
          <w:sz w:val="20"/>
          <w:szCs w:val="20"/>
        </w:rPr>
        <w:t>enfermedad CV no diagnosticada</w:t>
      </w:r>
      <w:r w:rsidRPr="005E32F0">
        <w:rPr>
          <w:rFonts w:cs="Arial"/>
          <w:sz w:val="20"/>
          <w:szCs w:val="20"/>
        </w:rPr>
        <w:t xml:space="preserve">. Un índice tobillo-brazo &lt;0,9 o superior a 1,3 identifica a pacientes de alto riesgo cardiovascular. </w:t>
      </w:r>
    </w:p>
    <w:p w:rsidR="00E81B3D" w:rsidRPr="007E74F2" w:rsidRDefault="00E81B3D" w:rsidP="003F020D">
      <w:pPr>
        <w:numPr>
          <w:ilvl w:val="0"/>
          <w:numId w:val="26"/>
        </w:numPr>
        <w:spacing w:before="120" w:after="120"/>
        <w:ind w:left="1418" w:hanging="284"/>
        <w:rPr>
          <w:rFonts w:cs="Arial"/>
          <w:sz w:val="20"/>
          <w:szCs w:val="20"/>
        </w:rPr>
      </w:pPr>
      <w:r w:rsidRPr="007E74F2">
        <w:rPr>
          <w:rFonts w:cs="Arial"/>
          <w:b/>
          <w:sz w:val="20"/>
          <w:szCs w:val="20"/>
        </w:rPr>
        <w:t>La arteriosclerosis carotídea</w:t>
      </w:r>
      <w:r w:rsidRPr="007E74F2">
        <w:rPr>
          <w:rFonts w:cs="Arial"/>
          <w:sz w:val="20"/>
          <w:szCs w:val="20"/>
        </w:rPr>
        <w:t xml:space="preserve"> es un conocido factor de riesgo CV y un reciente estudio demuestra</w:t>
      </w:r>
      <w:r>
        <w:rPr>
          <w:rFonts w:cs="Arial"/>
          <w:sz w:val="20"/>
          <w:szCs w:val="20"/>
        </w:rPr>
        <w:t xml:space="preserve"> </w:t>
      </w:r>
      <w:r w:rsidRPr="007E74F2">
        <w:rPr>
          <w:rFonts w:cs="Arial"/>
          <w:sz w:val="20"/>
          <w:szCs w:val="20"/>
        </w:rPr>
        <w:t xml:space="preserve">que el 62% de los pacientes con ERC presentan engrosa-miento de la intima-media carotídea o placas </w:t>
      </w:r>
      <w:r w:rsidRPr="00672394">
        <w:rPr>
          <w:rFonts w:cs="Arial"/>
          <w:sz w:val="20"/>
          <w:szCs w:val="20"/>
        </w:rPr>
        <w:t xml:space="preserve">ateromatosas carotídeas </w:t>
      </w:r>
      <w:r w:rsidRPr="007E74F2">
        <w:rPr>
          <w:rFonts w:cs="Arial"/>
          <w:sz w:val="20"/>
          <w:szCs w:val="20"/>
        </w:rPr>
        <w:t>a pesar de tener un riesgo cardiovascular bajo-intermedio (&lt;5%)</w:t>
      </w:r>
      <w:r w:rsidRPr="007E74F2">
        <w:rPr>
          <w:rStyle w:val="Refdenotaalfinal"/>
          <w:sz w:val="20"/>
          <w:szCs w:val="20"/>
        </w:rPr>
        <w:endnoteReference w:id="78"/>
      </w:r>
      <w:r w:rsidRPr="007E74F2">
        <w:rPr>
          <w:rFonts w:cs="Arial"/>
          <w:sz w:val="20"/>
          <w:szCs w:val="20"/>
        </w:rPr>
        <w:t xml:space="preserve">. Por tanto, la ecografía </w:t>
      </w:r>
      <w:r w:rsidRPr="00672394">
        <w:rPr>
          <w:rFonts w:cs="Arial"/>
          <w:sz w:val="20"/>
          <w:szCs w:val="20"/>
        </w:rPr>
        <w:t>carotídea</w:t>
      </w:r>
      <w:r w:rsidRPr="007E74F2">
        <w:rPr>
          <w:rFonts w:cs="Arial"/>
          <w:sz w:val="20"/>
          <w:szCs w:val="20"/>
        </w:rPr>
        <w:t xml:space="preserve"> podría ser otra estrategia para detectar individuos con ERC y lesión orgánica CV asintomática, aunque evidentemente es de realización más compleja. Esta prueba no es accesible de rutina en todos los centros.</w:t>
      </w:r>
    </w:p>
    <w:p w:rsidR="00E81B3D" w:rsidRDefault="00E81B3D" w:rsidP="006211D6">
      <w:pPr>
        <w:spacing w:before="120" w:after="120"/>
        <w:ind w:left="993"/>
        <w:rPr>
          <w:rFonts w:cs="Arial"/>
          <w:sz w:val="20"/>
          <w:szCs w:val="20"/>
        </w:rPr>
      </w:pPr>
      <w:r w:rsidRPr="00194144">
        <w:rPr>
          <w:rFonts w:cs="Arial"/>
          <w:sz w:val="20"/>
          <w:szCs w:val="20"/>
        </w:rPr>
        <w:t>El riesgo CV es especialmente elevado en los pacientes con ERC en diálisis, por lo que al inicio de este tratamiento se recomienda la</w:t>
      </w:r>
      <w:r>
        <w:rPr>
          <w:rFonts w:cs="Arial"/>
          <w:sz w:val="20"/>
          <w:szCs w:val="20"/>
        </w:rPr>
        <w:t xml:space="preserve"> </w:t>
      </w:r>
      <w:r w:rsidRPr="00194144">
        <w:rPr>
          <w:rFonts w:cs="Arial"/>
          <w:sz w:val="20"/>
          <w:szCs w:val="20"/>
        </w:rPr>
        <w:t>práctica</w:t>
      </w:r>
      <w:r>
        <w:rPr>
          <w:rFonts w:cs="Arial"/>
          <w:sz w:val="20"/>
          <w:szCs w:val="20"/>
        </w:rPr>
        <w:t xml:space="preserve"> </w:t>
      </w:r>
      <w:r w:rsidRPr="00194144">
        <w:rPr>
          <w:rFonts w:cs="Arial"/>
          <w:sz w:val="20"/>
          <w:szCs w:val="20"/>
        </w:rPr>
        <w:t>de un ecocardiograma</w:t>
      </w:r>
      <w:r>
        <w:rPr>
          <w:rStyle w:val="Refdenotaalfinal"/>
          <w:sz w:val="20"/>
          <w:szCs w:val="20"/>
        </w:rPr>
        <w:endnoteReference w:id="79"/>
      </w:r>
      <w:r>
        <w:rPr>
          <w:rFonts w:cs="Arial"/>
          <w:sz w:val="20"/>
          <w:szCs w:val="20"/>
        </w:rPr>
        <w:t>.</w:t>
      </w:r>
    </w:p>
    <w:p w:rsidR="00E81B3D" w:rsidRPr="00165992" w:rsidRDefault="00E81B3D" w:rsidP="006211D6">
      <w:pPr>
        <w:spacing w:before="120" w:after="120"/>
        <w:ind w:left="993"/>
        <w:rPr>
          <w:rFonts w:cs="Arial"/>
          <w:sz w:val="20"/>
          <w:szCs w:val="20"/>
        </w:rPr>
      </w:pPr>
    </w:p>
    <w:p w:rsidR="00E81B3D" w:rsidRPr="00215D7C" w:rsidRDefault="00E81B3D" w:rsidP="00087A20">
      <w:pPr>
        <w:pStyle w:val="Ttulo2"/>
        <w:ind w:left="993" w:hanging="426"/>
        <w:rPr>
          <w:rFonts w:ascii="Arial" w:hAnsi="Arial" w:cs="Arial"/>
          <w:i w:val="0"/>
          <w:sz w:val="20"/>
          <w:szCs w:val="20"/>
          <w:u w:val="single"/>
        </w:rPr>
      </w:pPr>
      <w:bookmarkStart w:id="39" w:name="_Toc341725527"/>
      <w:r w:rsidRPr="00215D7C">
        <w:rPr>
          <w:rFonts w:ascii="Arial" w:hAnsi="Arial" w:cs="Arial"/>
          <w:i w:val="0"/>
          <w:sz w:val="20"/>
          <w:szCs w:val="20"/>
        </w:rPr>
        <w:t>Actitudes, estilo de vida y tratamiento</w:t>
      </w:r>
      <w:bookmarkStart w:id="40" w:name="_Toc316486468"/>
      <w:bookmarkStart w:id="41" w:name="_Toc316486567"/>
      <w:bookmarkEnd w:id="37"/>
      <w:bookmarkEnd w:id="38"/>
      <w:bookmarkEnd w:id="39"/>
    </w:p>
    <w:p w:rsidR="00E81B3D" w:rsidRDefault="00E81B3D" w:rsidP="00B51D1B">
      <w:pPr>
        <w:spacing w:before="120" w:after="120"/>
        <w:ind w:left="993"/>
        <w:rPr>
          <w:rFonts w:cs="Arial"/>
          <w:sz w:val="20"/>
          <w:szCs w:val="20"/>
        </w:rPr>
      </w:pPr>
      <w:r w:rsidRPr="00087A20">
        <w:rPr>
          <w:rFonts w:cs="Arial"/>
          <w:sz w:val="20"/>
          <w:szCs w:val="20"/>
        </w:rPr>
        <w:t>Se recogen recomenda</w:t>
      </w:r>
      <w:r>
        <w:rPr>
          <w:rFonts w:cs="Arial"/>
          <w:sz w:val="20"/>
          <w:szCs w:val="20"/>
        </w:rPr>
        <w:t>ciones sobre estilo de vida en tres</w:t>
      </w:r>
      <w:r w:rsidRPr="00087A20">
        <w:rPr>
          <w:rFonts w:cs="Arial"/>
          <w:sz w:val="20"/>
          <w:szCs w:val="20"/>
        </w:rPr>
        <w:t xml:space="preserve"> aspectos concretos</w:t>
      </w:r>
      <w:r>
        <w:rPr>
          <w:rFonts w:cs="Arial"/>
          <w:sz w:val="20"/>
          <w:szCs w:val="20"/>
        </w:rPr>
        <w:t xml:space="preserve">: </w:t>
      </w:r>
    </w:p>
    <w:p w:rsidR="00E81B3D" w:rsidRPr="00186DE7" w:rsidRDefault="00E81B3D" w:rsidP="00186DE7">
      <w:pPr>
        <w:numPr>
          <w:ilvl w:val="0"/>
          <w:numId w:val="2"/>
        </w:numPr>
        <w:spacing w:before="120" w:after="120"/>
        <w:ind w:left="1276" w:hanging="283"/>
        <w:rPr>
          <w:rFonts w:cs="Arial"/>
          <w:sz w:val="20"/>
          <w:szCs w:val="20"/>
        </w:rPr>
      </w:pPr>
      <w:r w:rsidRPr="00186DE7">
        <w:rPr>
          <w:rFonts w:cs="Arial"/>
          <w:sz w:val="20"/>
          <w:szCs w:val="20"/>
        </w:rPr>
        <w:t>Ejercicio físico</w:t>
      </w:r>
    </w:p>
    <w:p w:rsidR="00E81B3D" w:rsidRPr="00186DE7" w:rsidRDefault="00E81B3D" w:rsidP="00186DE7">
      <w:pPr>
        <w:numPr>
          <w:ilvl w:val="0"/>
          <w:numId w:val="2"/>
        </w:numPr>
        <w:spacing w:before="120" w:after="120"/>
        <w:ind w:left="1276" w:hanging="283"/>
        <w:rPr>
          <w:rFonts w:cs="Arial"/>
          <w:sz w:val="20"/>
          <w:szCs w:val="20"/>
        </w:rPr>
      </w:pPr>
      <w:r w:rsidRPr="00186DE7">
        <w:rPr>
          <w:rFonts w:cs="Arial"/>
          <w:sz w:val="20"/>
          <w:szCs w:val="20"/>
        </w:rPr>
        <w:t>Dieta</w:t>
      </w:r>
    </w:p>
    <w:p w:rsidR="00E81B3D" w:rsidRPr="00186DE7" w:rsidRDefault="00E81B3D" w:rsidP="00186DE7">
      <w:pPr>
        <w:numPr>
          <w:ilvl w:val="0"/>
          <w:numId w:val="2"/>
        </w:numPr>
        <w:spacing w:before="120" w:after="120"/>
        <w:ind w:left="1276" w:hanging="283"/>
        <w:rPr>
          <w:rFonts w:cs="Arial"/>
          <w:sz w:val="20"/>
          <w:szCs w:val="20"/>
        </w:rPr>
      </w:pPr>
      <w:r w:rsidRPr="00186DE7">
        <w:rPr>
          <w:rFonts w:cs="Arial"/>
          <w:sz w:val="20"/>
          <w:szCs w:val="20"/>
        </w:rPr>
        <w:t>Alcohol</w:t>
      </w:r>
    </w:p>
    <w:p w:rsidR="00E81B3D" w:rsidRDefault="00E81B3D" w:rsidP="00B51D1B">
      <w:pPr>
        <w:spacing w:before="120" w:after="120"/>
        <w:ind w:left="993"/>
        <w:rPr>
          <w:rFonts w:cs="Arial"/>
          <w:sz w:val="20"/>
          <w:szCs w:val="20"/>
        </w:rPr>
      </w:pPr>
    </w:p>
    <w:p w:rsidR="00E81B3D" w:rsidRDefault="00E81B3D" w:rsidP="00B51D1B">
      <w:pPr>
        <w:spacing w:before="120" w:after="120"/>
        <w:ind w:left="993"/>
        <w:rPr>
          <w:rFonts w:cs="Arial"/>
          <w:sz w:val="20"/>
          <w:szCs w:val="20"/>
        </w:rPr>
      </w:pPr>
      <w:r>
        <w:rPr>
          <w:rFonts w:cs="Arial"/>
          <w:sz w:val="20"/>
          <w:szCs w:val="20"/>
        </w:rPr>
        <w:t>E</w:t>
      </w:r>
      <w:r w:rsidRPr="002B790E">
        <w:rPr>
          <w:rFonts w:cs="Arial"/>
          <w:sz w:val="20"/>
          <w:szCs w:val="20"/>
        </w:rPr>
        <w:t xml:space="preserve">l tabaco se </w:t>
      </w:r>
      <w:r>
        <w:rPr>
          <w:rFonts w:cs="Arial"/>
          <w:sz w:val="20"/>
          <w:szCs w:val="20"/>
        </w:rPr>
        <w:t xml:space="preserve">revisa en el </w:t>
      </w:r>
      <w:r w:rsidRPr="002B790E">
        <w:rPr>
          <w:rFonts w:cs="Arial"/>
          <w:sz w:val="20"/>
          <w:szCs w:val="20"/>
        </w:rPr>
        <w:t xml:space="preserve">apartado </w:t>
      </w:r>
      <w:r>
        <w:rPr>
          <w:rFonts w:cs="Arial"/>
          <w:sz w:val="20"/>
          <w:szCs w:val="20"/>
        </w:rPr>
        <w:t>15.</w:t>
      </w:r>
    </w:p>
    <w:p w:rsidR="00E81B3D" w:rsidRPr="00DA3051" w:rsidRDefault="00E81B3D" w:rsidP="00087A20">
      <w:pPr>
        <w:numPr>
          <w:ilvl w:val="0"/>
          <w:numId w:val="2"/>
        </w:numPr>
        <w:spacing w:before="120" w:after="120"/>
        <w:ind w:left="1276" w:hanging="283"/>
        <w:rPr>
          <w:rFonts w:cs="Arial"/>
          <w:b/>
          <w:sz w:val="20"/>
          <w:szCs w:val="20"/>
        </w:rPr>
      </w:pPr>
      <w:r>
        <w:rPr>
          <w:rFonts w:cs="Arial"/>
          <w:b/>
          <w:sz w:val="20"/>
          <w:szCs w:val="20"/>
        </w:rPr>
        <w:t>Ejercicio físico</w:t>
      </w:r>
    </w:p>
    <w:p w:rsidR="00E81B3D" w:rsidRPr="00A067C8" w:rsidRDefault="00E81B3D" w:rsidP="00511DDE">
      <w:pPr>
        <w:spacing w:before="120" w:after="120"/>
        <w:ind w:left="1276"/>
        <w:rPr>
          <w:rFonts w:cs="Arial"/>
          <w:sz w:val="20"/>
          <w:szCs w:val="20"/>
        </w:rPr>
      </w:pPr>
      <w:r w:rsidRPr="00A067C8">
        <w:rPr>
          <w:rFonts w:cs="Arial"/>
          <w:sz w:val="20"/>
          <w:szCs w:val="20"/>
        </w:rPr>
        <w:t>La práctica regular de ejercicio físico mejora la capacidad física y el estado psíquico de las personas, tanto sanas como enfermas. Además de mejorar la función de los sistemas</w:t>
      </w:r>
      <w:r>
        <w:rPr>
          <w:rFonts w:cs="Arial"/>
          <w:sz w:val="20"/>
          <w:szCs w:val="20"/>
        </w:rPr>
        <w:t xml:space="preserve"> </w:t>
      </w:r>
      <w:r w:rsidRPr="00A067C8">
        <w:rPr>
          <w:rFonts w:cs="Arial"/>
          <w:sz w:val="20"/>
          <w:szCs w:val="20"/>
        </w:rPr>
        <w:t>cardiovascular y músculoesquelético, el consumo de calorías ayuda a luchar contra la obesidad, también proporciona bienestar físico y favorece el descanso.</w:t>
      </w:r>
    </w:p>
    <w:p w:rsidR="00E81B3D" w:rsidRPr="00A067C8" w:rsidRDefault="00E81B3D" w:rsidP="00511DDE">
      <w:pPr>
        <w:spacing w:before="120" w:after="120"/>
        <w:ind w:left="1276"/>
        <w:rPr>
          <w:rFonts w:cs="Arial"/>
          <w:sz w:val="20"/>
          <w:szCs w:val="20"/>
        </w:rPr>
      </w:pPr>
      <w:r w:rsidRPr="00A067C8">
        <w:rPr>
          <w:rFonts w:cs="Arial"/>
          <w:sz w:val="20"/>
          <w:szCs w:val="20"/>
        </w:rPr>
        <w:t>Como norma general, se recomienda 30-60 minutos de ejercicio moderado 4 a 7 días por semana, que puede ser caminar, nadar, andar en bicicleta (fija o en el exterior), baile aeróbico o cualquier otra actividad en la que intervienen grandes grupos musculares de forma continua.</w:t>
      </w:r>
    </w:p>
    <w:p w:rsidR="00E81B3D" w:rsidRPr="006E7715" w:rsidRDefault="00E81B3D" w:rsidP="00511DDE">
      <w:pPr>
        <w:spacing w:before="120" w:after="120"/>
        <w:ind w:left="1276"/>
        <w:rPr>
          <w:rFonts w:cs="Arial"/>
          <w:sz w:val="20"/>
          <w:szCs w:val="20"/>
        </w:rPr>
      </w:pPr>
      <w:r w:rsidRPr="00A067C8">
        <w:rPr>
          <w:rFonts w:cs="Arial"/>
          <w:sz w:val="20"/>
          <w:szCs w:val="20"/>
        </w:rPr>
        <w:t>Cuando la enfermedad renal está establecida, adaptado a la capacidad física de cada paciente, se mantienen importantes beneficios</w:t>
      </w:r>
      <w:r w:rsidRPr="0049306A">
        <w:rPr>
          <w:rFonts w:cs="Arial"/>
          <w:sz w:val="20"/>
          <w:szCs w:val="20"/>
        </w:rPr>
        <w:t>. Una reciente revisión de Cochrane que analizó 45 estudios que habían randomizado 1863 pacientes con ERC, algunos con trasplante renal, demostró que la práctica de ejercicio se acompaña de beneficios significativos en el estado físico, la capacidad de caminar, en parámetros cardiovasculares como presión arterial y frecuencia cardiaca, en la calidad de vida relacionada con la salud y en algunas determinaciones</w:t>
      </w:r>
      <w:r w:rsidRPr="00A067C8">
        <w:rPr>
          <w:rFonts w:cs="Arial"/>
          <w:sz w:val="20"/>
          <w:szCs w:val="20"/>
        </w:rPr>
        <w:t xml:space="preserve"> metabólicas. Se comprobó que un entrenamiento cardiovascular de alta intensidad durante un periodo de cuatro a seis meses mejora la capacidad aeróbica del paciente, y otras actividades, como el entrenamiento de alta resistencia o el yoga, mejoran la fuerza muscular y la capacidad de caminar en tres meses.</w:t>
      </w:r>
      <w:r>
        <w:rPr>
          <w:rStyle w:val="Refdenotaalfinal"/>
          <w:sz w:val="20"/>
          <w:szCs w:val="20"/>
        </w:rPr>
        <w:endnoteReference w:id="80"/>
      </w:r>
    </w:p>
    <w:p w:rsidR="00E81B3D" w:rsidRPr="00DA3051" w:rsidRDefault="00E81B3D" w:rsidP="00511DDE">
      <w:pPr>
        <w:numPr>
          <w:ilvl w:val="0"/>
          <w:numId w:val="2"/>
        </w:numPr>
        <w:spacing w:before="120" w:after="120"/>
        <w:ind w:left="1276" w:hanging="283"/>
        <w:rPr>
          <w:rFonts w:cs="Arial"/>
          <w:b/>
          <w:sz w:val="20"/>
          <w:szCs w:val="20"/>
        </w:rPr>
      </w:pPr>
      <w:r>
        <w:rPr>
          <w:rFonts w:cs="Arial"/>
          <w:b/>
          <w:sz w:val="20"/>
          <w:szCs w:val="20"/>
        </w:rPr>
        <w:t>Dieta</w:t>
      </w:r>
    </w:p>
    <w:p w:rsidR="00E81B3D" w:rsidRPr="00A067C8" w:rsidRDefault="00E81B3D" w:rsidP="00511DDE">
      <w:pPr>
        <w:spacing w:before="120" w:after="120"/>
        <w:ind w:left="1276"/>
        <w:rPr>
          <w:rFonts w:cs="Arial"/>
          <w:sz w:val="20"/>
          <w:szCs w:val="20"/>
        </w:rPr>
      </w:pPr>
      <w:r w:rsidRPr="00087A20">
        <w:rPr>
          <w:rFonts w:cs="Arial"/>
          <w:sz w:val="20"/>
          <w:szCs w:val="20"/>
        </w:rPr>
        <w:t xml:space="preserve">Las recomendaciones dietéticas deben individualizarse para evitar sobrepeso u obesidad, pero también según la función renal del paciente y la existencia de otros factores de riesgo en los que esté indicado alguna restricción específica. El objetivo es </w:t>
      </w:r>
      <w:r w:rsidRPr="00A067C8">
        <w:rPr>
          <w:rFonts w:cs="Arial"/>
          <w:sz w:val="20"/>
          <w:szCs w:val="20"/>
        </w:rPr>
        <w:t>mantener un peso saludable: índice de masa corporal: 18.5–24.9 kg/m</w:t>
      </w:r>
      <w:r w:rsidRPr="005B3F59">
        <w:rPr>
          <w:rFonts w:cs="Arial"/>
          <w:sz w:val="20"/>
          <w:szCs w:val="20"/>
          <w:vertAlign w:val="superscript"/>
        </w:rPr>
        <w:t>2</w:t>
      </w:r>
      <w:r w:rsidRPr="00A067C8">
        <w:rPr>
          <w:rFonts w:cs="Arial"/>
          <w:sz w:val="20"/>
          <w:szCs w:val="20"/>
        </w:rPr>
        <w:t xml:space="preserve"> y una circunferencia de cintura en hombres &lt; 102 cm y en mujeres &lt; 88 cm.</w:t>
      </w:r>
    </w:p>
    <w:p w:rsidR="00E81B3D" w:rsidRPr="00A067C8" w:rsidRDefault="00E81B3D" w:rsidP="00511DDE">
      <w:pPr>
        <w:spacing w:before="120" w:after="120"/>
        <w:ind w:left="1276"/>
        <w:rPr>
          <w:rFonts w:cs="Arial"/>
          <w:sz w:val="20"/>
          <w:szCs w:val="20"/>
        </w:rPr>
      </w:pPr>
      <w:r w:rsidRPr="00A067C8">
        <w:rPr>
          <w:rFonts w:cs="Arial"/>
          <w:sz w:val="20"/>
          <w:szCs w:val="20"/>
        </w:rPr>
        <w:t>La dieta debe mantener un estado nutricional adecuado y compensar los déficits debidos a la enfermedad renal.</w:t>
      </w:r>
      <w:r>
        <w:rPr>
          <w:rFonts w:cs="Arial"/>
          <w:sz w:val="20"/>
          <w:szCs w:val="20"/>
        </w:rPr>
        <w:t xml:space="preserve"> </w:t>
      </w:r>
      <w:r w:rsidRPr="00A067C8">
        <w:rPr>
          <w:rFonts w:cs="Arial"/>
          <w:sz w:val="20"/>
          <w:szCs w:val="20"/>
        </w:rPr>
        <w:t>Las necesidades energéticas son similares a la población general, aproximadamente 35 kcal/kg/día (equivale a 2000 kcal para una mujer de 60 Kg y</w:t>
      </w:r>
      <w:r>
        <w:rPr>
          <w:rFonts w:cs="Arial"/>
          <w:sz w:val="20"/>
          <w:szCs w:val="20"/>
        </w:rPr>
        <w:t xml:space="preserve"> </w:t>
      </w:r>
      <w:r w:rsidRPr="00A067C8">
        <w:rPr>
          <w:rFonts w:cs="Arial"/>
          <w:sz w:val="20"/>
          <w:szCs w:val="20"/>
        </w:rPr>
        <w:t>2600 Kcal para un hombre de 75 kg); en situaciones de desnutrición pueden requerirse hasta 40-45 kcal/kg diarias.</w:t>
      </w:r>
    </w:p>
    <w:p w:rsidR="00E81B3D" w:rsidRDefault="00E81B3D" w:rsidP="00A53507">
      <w:pPr>
        <w:spacing w:before="120" w:after="120"/>
        <w:ind w:left="1276"/>
        <w:rPr>
          <w:rFonts w:cs="Arial"/>
          <w:sz w:val="20"/>
          <w:szCs w:val="20"/>
        </w:rPr>
      </w:pPr>
      <w:r w:rsidRPr="0049306A">
        <w:rPr>
          <w:rFonts w:cs="Arial"/>
          <w:sz w:val="20"/>
          <w:szCs w:val="20"/>
        </w:rPr>
        <w:t xml:space="preserve">Los hidratos de carbono aportarán un 45-55% del total de calorías de la dieta y las grasas un 35-45%, debiendo ser en su mayoría grasas insaturadas, aunque la aparición de alteraciones lipídicas y el riesgo de aterosclerosis con frecuencia exige una limitación de la grasas de la dieta. La restricción proteica puede retrasar y minimizar el síndrome urémico, que también es lo </w:t>
      </w:r>
      <w:r w:rsidRPr="0049306A">
        <w:rPr>
          <w:rFonts w:cs="Arial"/>
          <w:sz w:val="20"/>
          <w:szCs w:val="20"/>
        </w:rPr>
        <w:lastRenderedPageBreak/>
        <w:t>recomendable en la población general. Respecto al consumo de sal, la recomendación a la población</w:t>
      </w:r>
      <w:r w:rsidRPr="00A067C8">
        <w:rPr>
          <w:rFonts w:cs="Arial"/>
          <w:sz w:val="20"/>
          <w:szCs w:val="20"/>
        </w:rPr>
        <w:t xml:space="preserve"> general es que el consumo diario sea de menos de 6 g de sal (equivale a 2.4 g de sodio); actualmente en nuestro país se consumen aproximadamente 10 g diarios. En fases iniciales de la enfermedad renal, una restricción de sal más estricta se aplicará únicamente a los pacientes hipertensos</w:t>
      </w:r>
      <w:r>
        <w:rPr>
          <w:rStyle w:val="Refdenotaalfinal"/>
          <w:sz w:val="20"/>
          <w:szCs w:val="20"/>
        </w:rPr>
        <w:endnoteReference w:id="81"/>
      </w:r>
      <w:r w:rsidRPr="00A067C8">
        <w:rPr>
          <w:rFonts w:cs="Arial"/>
          <w:sz w:val="20"/>
          <w:szCs w:val="20"/>
        </w:rPr>
        <w:t xml:space="preserve">. </w:t>
      </w:r>
    </w:p>
    <w:p w:rsidR="00E81B3D" w:rsidRPr="00DA3051" w:rsidRDefault="00E81B3D" w:rsidP="00087A20">
      <w:pPr>
        <w:numPr>
          <w:ilvl w:val="0"/>
          <w:numId w:val="2"/>
        </w:numPr>
        <w:spacing w:before="120" w:after="120"/>
        <w:ind w:left="1276" w:hanging="283"/>
        <w:rPr>
          <w:rFonts w:cs="Arial"/>
          <w:b/>
          <w:sz w:val="20"/>
          <w:szCs w:val="20"/>
        </w:rPr>
      </w:pPr>
      <w:r>
        <w:rPr>
          <w:rFonts w:cs="Arial"/>
          <w:b/>
          <w:sz w:val="20"/>
          <w:szCs w:val="20"/>
        </w:rPr>
        <w:t>Alcohol</w:t>
      </w:r>
    </w:p>
    <w:p w:rsidR="00E81B3D" w:rsidRDefault="00E81B3D" w:rsidP="00087A20">
      <w:pPr>
        <w:spacing w:before="120" w:after="120"/>
        <w:ind w:left="1276"/>
        <w:rPr>
          <w:rFonts w:cs="Arial"/>
          <w:bCs/>
          <w:sz w:val="20"/>
          <w:szCs w:val="20"/>
        </w:rPr>
      </w:pPr>
      <w:r w:rsidRPr="00511DDE">
        <w:rPr>
          <w:rFonts w:cs="Arial"/>
          <w:bCs/>
          <w:sz w:val="20"/>
          <w:szCs w:val="20"/>
        </w:rPr>
        <w:t>No se considera perjudicial una ingesta moderada de alcohol como en la población general, lo que supone unos 12 a 14 gramos de etanol, (aproximadamente 300 cc de cerveza o 150 cc de vino). Pero hay que tener en cuenta no solo las calorías presentes en el alcohol sino también la cantidad de líquido y el contenido en azúcar, potasio, fósforo y sodio, que debe limitarse en muchos pacientes según los factores de riesgo asociados y el grado de insuficiencia renal que presenten.</w:t>
      </w:r>
    </w:p>
    <w:p w:rsidR="00E81B3D" w:rsidRDefault="00E81B3D" w:rsidP="00087A20">
      <w:pPr>
        <w:spacing w:before="120" w:after="120"/>
        <w:ind w:left="1276"/>
        <w:rPr>
          <w:rFonts w:cs="Arial"/>
          <w:bCs/>
          <w:sz w:val="20"/>
          <w:szCs w:val="20"/>
        </w:rPr>
      </w:pPr>
    </w:p>
    <w:p w:rsidR="00E81B3D" w:rsidRPr="00215D7C" w:rsidRDefault="00E81B3D" w:rsidP="00B62C24">
      <w:pPr>
        <w:pStyle w:val="Ttulo2"/>
        <w:ind w:left="993" w:hanging="426"/>
        <w:rPr>
          <w:rFonts w:ascii="Arial" w:hAnsi="Arial" w:cs="Arial"/>
          <w:i w:val="0"/>
          <w:sz w:val="20"/>
          <w:szCs w:val="20"/>
        </w:rPr>
      </w:pPr>
      <w:bookmarkStart w:id="42" w:name="_Toc341725528"/>
      <w:r w:rsidRPr="00215D7C">
        <w:rPr>
          <w:rFonts w:ascii="Arial" w:hAnsi="Arial" w:cs="Arial"/>
          <w:i w:val="0"/>
          <w:sz w:val="20"/>
          <w:szCs w:val="20"/>
        </w:rPr>
        <w:t>HTA en la ERC: objetivos de tratamiento.</w:t>
      </w:r>
      <w:bookmarkEnd w:id="40"/>
      <w:bookmarkEnd w:id="41"/>
      <w:bookmarkEnd w:id="42"/>
    </w:p>
    <w:p w:rsidR="00E81B3D" w:rsidRPr="00087A20" w:rsidRDefault="00E81B3D" w:rsidP="00511DDE">
      <w:pPr>
        <w:spacing w:before="120" w:after="120"/>
        <w:ind w:left="993"/>
        <w:rPr>
          <w:rFonts w:cs="Arial"/>
          <w:sz w:val="20"/>
          <w:szCs w:val="20"/>
        </w:rPr>
      </w:pPr>
      <w:bookmarkStart w:id="43" w:name="_Toc316486469"/>
      <w:bookmarkStart w:id="44" w:name="_Toc316486568"/>
      <w:r w:rsidRPr="00087A20">
        <w:rPr>
          <w:rFonts w:cs="Arial"/>
          <w:sz w:val="20"/>
          <w:szCs w:val="20"/>
        </w:rPr>
        <w:t>Las recomendaciones generales sobre el objetivo de control tensional en pacientes con enfermedad renal aconsejan unas cifras inferiores a 130/80 mmHg</w:t>
      </w:r>
      <w:fldSimple w:instr=" NOTEREF _Ref343104413 \f  \* MERGEFORMAT ">
        <w:r w:rsidR="00852CBE" w:rsidRPr="00852CBE">
          <w:rPr>
            <w:rStyle w:val="Refdenotaalfinal"/>
            <w:sz w:val="20"/>
            <w:szCs w:val="20"/>
          </w:rPr>
          <w:t>1</w:t>
        </w:r>
      </w:fldSimple>
      <w:r>
        <w:rPr>
          <w:rFonts w:cs="Arial"/>
          <w:sz w:val="20"/>
          <w:szCs w:val="20"/>
        </w:rPr>
        <w:t xml:space="preserve"> </w:t>
      </w:r>
      <w:r>
        <w:rPr>
          <w:rStyle w:val="Refdenotaalfinal"/>
          <w:rFonts w:cs="Arial"/>
          <w:sz w:val="20"/>
          <w:szCs w:val="20"/>
        </w:rPr>
        <w:endnoteReference w:id="82"/>
      </w:r>
      <w:r w:rsidRPr="00087A20">
        <w:rPr>
          <w:rFonts w:cs="Arial"/>
          <w:sz w:val="20"/>
          <w:szCs w:val="20"/>
        </w:rPr>
        <w:t xml:space="preserve"> </w:t>
      </w:r>
      <w:bookmarkStart w:id="45" w:name="_Ref343110401"/>
      <w:r>
        <w:rPr>
          <w:rStyle w:val="Refdenotaalfinal"/>
          <w:rFonts w:cs="Arial"/>
          <w:sz w:val="20"/>
          <w:szCs w:val="20"/>
        </w:rPr>
        <w:endnoteReference w:id="83"/>
      </w:r>
      <w:bookmarkEnd w:id="45"/>
      <w:r w:rsidRPr="00087A20">
        <w:rPr>
          <w:rFonts w:cs="Arial"/>
          <w:sz w:val="20"/>
          <w:szCs w:val="20"/>
        </w:rPr>
        <w:t xml:space="preserve">. Más aún, en pacientes con proteinuria superior a 1 g/día, algunos autores recomiendan una reducción más marcada de la presión arterial, por debajo de 125/75 mmHg </w:t>
      </w:r>
      <w:r>
        <w:rPr>
          <w:rStyle w:val="Refdenotaalfinal"/>
          <w:rFonts w:cs="Arial"/>
          <w:sz w:val="20"/>
          <w:szCs w:val="20"/>
        </w:rPr>
        <w:endnoteReference w:id="84"/>
      </w:r>
      <w:r w:rsidRPr="00087A20">
        <w:rPr>
          <w:rFonts w:cs="Arial"/>
          <w:sz w:val="20"/>
          <w:szCs w:val="20"/>
        </w:rPr>
        <w:t xml:space="preserve">. Recientemente, la Sociedad Europea de Hipertensión ha moderado su recomendación de control tensional en pacientes de alto riesgo cardiovascular, aconsejando un control cercano a 130/80 mmHg </w:t>
      </w:r>
      <w:r>
        <w:rPr>
          <w:rStyle w:val="Refdenotaalfinal"/>
          <w:rFonts w:cs="Arial"/>
          <w:sz w:val="20"/>
          <w:szCs w:val="20"/>
        </w:rPr>
        <w:endnoteReference w:id="85"/>
      </w:r>
      <w:r w:rsidRPr="00087A20">
        <w:rPr>
          <w:rFonts w:cs="Arial"/>
          <w:sz w:val="20"/>
          <w:szCs w:val="20"/>
        </w:rPr>
        <w:t>, si bien no se hace una mención específica de los pacientes con enfermedad renal, que quedan englobados en los pacientes de elevado riesgo cardiovascular.</w:t>
      </w:r>
      <w:r>
        <w:rPr>
          <w:rFonts w:cs="Arial"/>
          <w:sz w:val="20"/>
          <w:szCs w:val="20"/>
        </w:rPr>
        <w:t xml:space="preserve"> </w:t>
      </w:r>
      <w:r w:rsidRPr="00087A20">
        <w:rPr>
          <w:rFonts w:cs="Arial"/>
          <w:sz w:val="20"/>
          <w:szCs w:val="20"/>
        </w:rPr>
        <w:t xml:space="preserve">Esta revisión de los objetivos es concordante con los resultados de algunos estudios recientes, como la extensión de estudio AASKD (African American Study in Kidney Disease) </w:t>
      </w:r>
      <w:bookmarkStart w:id="46" w:name="_Ref343110258"/>
      <w:r>
        <w:rPr>
          <w:rStyle w:val="Refdenotaalfinal"/>
          <w:rFonts w:cs="Arial"/>
          <w:sz w:val="20"/>
          <w:szCs w:val="20"/>
        </w:rPr>
        <w:endnoteReference w:id="86"/>
      </w:r>
      <w:bookmarkEnd w:id="46"/>
      <w:r w:rsidRPr="00087A20">
        <w:rPr>
          <w:rFonts w:cs="Arial"/>
          <w:sz w:val="20"/>
          <w:szCs w:val="20"/>
        </w:rPr>
        <w:t xml:space="preserve"> y los datos de estudio</w:t>
      </w:r>
      <w:r>
        <w:rPr>
          <w:rFonts w:cs="Arial"/>
          <w:sz w:val="20"/>
          <w:szCs w:val="20"/>
        </w:rPr>
        <w:t xml:space="preserve"> </w:t>
      </w:r>
      <w:r w:rsidRPr="00087A20">
        <w:rPr>
          <w:rFonts w:cs="Arial"/>
          <w:sz w:val="20"/>
          <w:szCs w:val="20"/>
        </w:rPr>
        <w:t xml:space="preserve">ACCORD </w:t>
      </w:r>
      <w:r>
        <w:rPr>
          <w:rStyle w:val="Refdenotaalfinal"/>
          <w:rFonts w:cs="Arial"/>
          <w:sz w:val="20"/>
          <w:szCs w:val="20"/>
        </w:rPr>
        <w:endnoteReference w:id="87"/>
      </w:r>
      <w:r w:rsidRPr="00087A20">
        <w:rPr>
          <w:rFonts w:cs="Arial"/>
          <w:sz w:val="20"/>
          <w:szCs w:val="20"/>
        </w:rPr>
        <w:t xml:space="preserve">, en el que un objetivo de control &lt;120/80mmHg no se acompañaba de un beneficio sobre la función renal. No obstante, los resultados del estudio ADVANCE (Action in Diabetes and Vascular Disease: Preterax and Diamicron MR Controlled Evaluation) </w:t>
      </w:r>
      <w:r>
        <w:rPr>
          <w:rStyle w:val="Refdenotaalfinal"/>
          <w:rFonts w:cs="Arial"/>
          <w:sz w:val="20"/>
          <w:szCs w:val="20"/>
        </w:rPr>
        <w:endnoteReference w:id="88"/>
      </w:r>
      <w:r w:rsidRPr="00087A20">
        <w:rPr>
          <w:rFonts w:cs="Arial"/>
          <w:sz w:val="20"/>
          <w:szCs w:val="20"/>
        </w:rPr>
        <w:t xml:space="preserve"> sostienen el beneficio de un objetivo tensional estricto en pacientes nefrópatas. Igualmente, aquellos pacientes con enfermedad renal y proteinuria pueden verse beneficiados de una mayor redu</w:t>
      </w:r>
      <w:r>
        <w:rPr>
          <w:rFonts w:cs="Arial"/>
          <w:sz w:val="20"/>
          <w:szCs w:val="20"/>
        </w:rPr>
        <w:t>cción de la presión arterial</w:t>
      </w:r>
      <w:fldSimple w:instr=" NOTEREF _Ref343110258 \h  \* MERGEFORMAT ">
        <w:r w:rsidR="00852CBE" w:rsidRPr="00852CBE">
          <w:rPr>
            <w:rFonts w:cs="Arial"/>
            <w:sz w:val="20"/>
            <w:szCs w:val="20"/>
            <w:vertAlign w:val="superscript"/>
          </w:rPr>
          <w:t>85</w:t>
        </w:r>
      </w:fldSimple>
      <w:r>
        <w:rPr>
          <w:rFonts w:cs="Arial"/>
          <w:sz w:val="20"/>
          <w:szCs w:val="20"/>
        </w:rPr>
        <w:t>.</w:t>
      </w:r>
    </w:p>
    <w:p w:rsidR="00E81B3D" w:rsidRPr="0049306A" w:rsidRDefault="00E81B3D" w:rsidP="00A53507">
      <w:pPr>
        <w:spacing w:before="120" w:after="120"/>
        <w:ind w:left="993"/>
        <w:rPr>
          <w:rFonts w:cs="Arial"/>
          <w:sz w:val="20"/>
          <w:szCs w:val="20"/>
        </w:rPr>
      </w:pPr>
      <w:r w:rsidRPr="00511DDE">
        <w:rPr>
          <w:rFonts w:cs="Arial"/>
          <w:sz w:val="20"/>
          <w:szCs w:val="20"/>
        </w:rPr>
        <w:t xml:space="preserve">Las guías de la National Kidney Foundation siguen recomendando un objetivo de control tensional por debajo de 130/80 mmHg en presencia de insuficiencia renal </w:t>
      </w:r>
      <w:r w:rsidRPr="00511DDE">
        <w:rPr>
          <w:rFonts w:cs="Arial"/>
          <w:sz w:val="20"/>
          <w:vertAlign w:val="superscript"/>
        </w:rPr>
        <w:endnoteReference w:id="89"/>
      </w:r>
      <w:r w:rsidRPr="00511DDE">
        <w:rPr>
          <w:rFonts w:cs="Arial"/>
          <w:sz w:val="20"/>
          <w:szCs w:val="20"/>
        </w:rPr>
        <w:t xml:space="preserve">. </w:t>
      </w:r>
      <w:r>
        <w:rPr>
          <w:rFonts w:cs="Arial"/>
          <w:sz w:val="20"/>
          <w:szCs w:val="20"/>
        </w:rPr>
        <w:t xml:space="preserve">En la última edición de las guías KDIGO sobre Evaluación y Manejo de la ERC, se recomienda un objetivo de control tensional general </w:t>
      </w:r>
      <w:r>
        <w:rPr>
          <w:rFonts w:cs="Arial"/>
          <w:sz w:val="20"/>
          <w:szCs w:val="20"/>
        </w:rPr>
        <w:sym w:font="Symbol" w:char="F0A3"/>
      </w:r>
      <w:r>
        <w:rPr>
          <w:rFonts w:cs="Arial"/>
          <w:sz w:val="20"/>
          <w:szCs w:val="20"/>
        </w:rPr>
        <w:t>140/</w:t>
      </w:r>
      <w:r>
        <w:rPr>
          <w:rFonts w:cs="Arial"/>
          <w:sz w:val="20"/>
          <w:szCs w:val="20"/>
        </w:rPr>
        <w:sym w:font="Symbol" w:char="F0A3"/>
      </w:r>
      <w:r>
        <w:rPr>
          <w:rFonts w:cs="Arial"/>
          <w:sz w:val="20"/>
          <w:szCs w:val="20"/>
        </w:rPr>
        <w:t xml:space="preserve">90 mmHg si el cociente albúmina/creatinina es &lt;30mg/g. Si dicho cociente es </w:t>
      </w:r>
      <w:r>
        <w:rPr>
          <w:rFonts w:cs="Arial"/>
          <w:sz w:val="20"/>
          <w:szCs w:val="20"/>
        </w:rPr>
        <w:sym w:font="Symbol" w:char="F0B3"/>
      </w:r>
      <w:r>
        <w:rPr>
          <w:rFonts w:cs="Arial"/>
          <w:sz w:val="20"/>
          <w:szCs w:val="20"/>
        </w:rPr>
        <w:t xml:space="preserve">30mg/g, se sugiere un objetivo más estricto </w:t>
      </w:r>
      <w:r>
        <w:rPr>
          <w:rFonts w:cs="Arial"/>
          <w:sz w:val="20"/>
          <w:szCs w:val="20"/>
        </w:rPr>
        <w:sym w:font="Symbol" w:char="F0A3"/>
      </w:r>
      <w:r>
        <w:rPr>
          <w:rFonts w:cs="Arial"/>
          <w:sz w:val="20"/>
          <w:szCs w:val="20"/>
        </w:rPr>
        <w:t>130/</w:t>
      </w:r>
      <w:r>
        <w:rPr>
          <w:rFonts w:cs="Arial"/>
          <w:sz w:val="20"/>
          <w:szCs w:val="20"/>
        </w:rPr>
        <w:sym w:font="Symbol" w:char="F0A3"/>
      </w:r>
      <w:r>
        <w:rPr>
          <w:rFonts w:cs="Arial"/>
          <w:sz w:val="20"/>
          <w:szCs w:val="20"/>
        </w:rPr>
        <w:t>80 mmHg</w:t>
      </w:r>
      <w:fldSimple w:instr=" NOTEREF _Ref343538261 \h  \* MERGEFORMAT ">
        <w:r w:rsidR="00852CBE" w:rsidRPr="00852CBE">
          <w:rPr>
            <w:rFonts w:cs="Arial"/>
            <w:sz w:val="20"/>
            <w:szCs w:val="20"/>
            <w:vertAlign w:val="superscript"/>
          </w:rPr>
          <w:t>3</w:t>
        </w:r>
      </w:fldSimple>
      <w:r>
        <w:rPr>
          <w:rFonts w:cs="Arial"/>
          <w:sz w:val="20"/>
          <w:szCs w:val="20"/>
        </w:rPr>
        <w:t xml:space="preserve">.   </w:t>
      </w:r>
      <w:r w:rsidRPr="00087A20">
        <w:rPr>
          <w:rFonts w:cs="Arial"/>
          <w:sz w:val="20"/>
          <w:szCs w:val="20"/>
        </w:rPr>
        <w:t xml:space="preserve">Existe una gran uniformidad en el mensaje de la necesidad de utilizar fármacos que bloqueen el sistema renina angiotensina, bien mediante inhibidores de la enzima de conversión de angiotensina </w:t>
      </w:r>
      <w:r w:rsidRPr="0049306A">
        <w:rPr>
          <w:rFonts w:cs="Arial"/>
          <w:sz w:val="20"/>
          <w:szCs w:val="20"/>
        </w:rPr>
        <w:t xml:space="preserve">(IECAs) o antagonistas de los receptores de angiotensina II (ARA), debido a sus efectos nefroprotectores adicionales </w:t>
      </w:r>
      <w:r w:rsidRPr="0049306A">
        <w:rPr>
          <w:rStyle w:val="Refdenotaalfinal"/>
          <w:rFonts w:cs="Arial"/>
          <w:sz w:val="20"/>
          <w:szCs w:val="20"/>
        </w:rPr>
        <w:endnoteReference w:id="90"/>
      </w:r>
      <w:r w:rsidRPr="0049306A">
        <w:rPr>
          <w:rFonts w:cs="Arial"/>
          <w:sz w:val="20"/>
          <w:szCs w:val="20"/>
        </w:rPr>
        <w:t>.</w:t>
      </w:r>
    </w:p>
    <w:p w:rsidR="00E81B3D" w:rsidRDefault="00E81B3D" w:rsidP="00B1318D">
      <w:pPr>
        <w:spacing w:before="120" w:after="120"/>
        <w:ind w:left="993"/>
        <w:rPr>
          <w:rFonts w:cs="Arial"/>
          <w:sz w:val="20"/>
          <w:szCs w:val="20"/>
        </w:rPr>
      </w:pPr>
      <w:r w:rsidRPr="0049306A">
        <w:rPr>
          <w:rFonts w:cs="Arial"/>
          <w:sz w:val="20"/>
          <w:szCs w:val="20"/>
        </w:rPr>
        <w:t xml:space="preserve">El tratamiento </w:t>
      </w:r>
      <w:r>
        <w:rPr>
          <w:rFonts w:cs="Arial"/>
          <w:sz w:val="20"/>
          <w:szCs w:val="20"/>
        </w:rPr>
        <w:t xml:space="preserve">combinado </w:t>
      </w:r>
      <w:r w:rsidRPr="0049306A">
        <w:rPr>
          <w:rFonts w:cs="Arial"/>
          <w:sz w:val="20"/>
          <w:szCs w:val="20"/>
        </w:rPr>
        <w:t xml:space="preserve">debe considerarse la norma en el paciente con ERC, ya que la propia ERC se asocia con una mayor resistencia al tratamiento antihipertensivo </w:t>
      </w:r>
      <w:r w:rsidRPr="0049306A">
        <w:rPr>
          <w:rStyle w:val="Refdenotaalfinal"/>
          <w:rFonts w:cs="Arial"/>
          <w:sz w:val="20"/>
          <w:szCs w:val="20"/>
        </w:rPr>
        <w:endnoteReference w:id="91"/>
      </w:r>
      <w:r>
        <w:rPr>
          <w:rFonts w:cs="Arial"/>
          <w:sz w:val="20"/>
          <w:szCs w:val="20"/>
        </w:rPr>
        <w:t>. Los grupos de fármacos anti</w:t>
      </w:r>
      <w:r w:rsidRPr="0049306A">
        <w:rPr>
          <w:rFonts w:cs="Arial"/>
          <w:sz w:val="20"/>
          <w:szCs w:val="20"/>
        </w:rPr>
        <w:t xml:space="preserve">hipertensivos más utilizados y las combinaciones más recomendadas aparecen recogidos en la figura 3. Además, dicho tratamiento combinado es de primera elección cuando hay un riesgo cardiovascular alto, es decir, en individuos en los que la presión arterial está muy por encima del umbral de hipertensión (p. ej., más de 20 mmHg de valor sistólico o 10 mmHg del diastólico), o cuando grados más leves de elevación de la presión arterial se asocian a múltiples factores de riesgo, lesiones subclínicas de órganos, DM, ERC o enfermedad cardiovascular asociada. En todas estas circunstancias, es necesario obtener una reducción importante de la presión arterial, lo cual es difícil de conseguir con monoterapia </w:t>
      </w:r>
      <w:fldSimple w:instr=" NOTEREF _Ref343110401 \h  \* MERGEFORMAT ">
        <w:r w:rsidR="00852CBE" w:rsidRPr="00852CBE">
          <w:rPr>
            <w:rFonts w:cs="Arial"/>
            <w:sz w:val="20"/>
            <w:szCs w:val="20"/>
            <w:vertAlign w:val="superscript"/>
          </w:rPr>
          <w:t>82</w:t>
        </w:r>
      </w:fldSimple>
      <w:r>
        <w:rPr>
          <w:rStyle w:val="Refdenotaalfinal"/>
          <w:rFonts w:cs="Arial"/>
          <w:sz w:val="20"/>
          <w:szCs w:val="20"/>
        </w:rPr>
        <w:t xml:space="preserve"> </w:t>
      </w:r>
      <w:r w:rsidRPr="0049306A">
        <w:rPr>
          <w:rFonts w:cs="Arial"/>
          <w:sz w:val="20"/>
          <w:szCs w:val="20"/>
        </w:rPr>
        <w:t xml:space="preserve"> </w:t>
      </w:r>
      <w:r w:rsidRPr="0049306A">
        <w:rPr>
          <w:rStyle w:val="Refdenotaalfinal"/>
          <w:rFonts w:cs="Arial"/>
          <w:sz w:val="20"/>
          <w:szCs w:val="20"/>
        </w:rPr>
        <w:endnoteReference w:id="92"/>
      </w:r>
      <w:r w:rsidRPr="0049306A">
        <w:rPr>
          <w:rFonts w:cs="Arial"/>
          <w:sz w:val="20"/>
          <w:szCs w:val="20"/>
        </w:rPr>
        <w:t xml:space="preserve">. No obstante, debe resaltarse que las combinaciones de dos fármacos no son siempre capaces de controlar la presión arterial y puede ser necesario el uso de 3 o más fármacos en diversos pacientes de alto riesgo, en especial los que presenten ERC, DM u otros tipos de HTA complicada o </w:t>
      </w:r>
      <w:r w:rsidRPr="001F32A2">
        <w:rPr>
          <w:rFonts w:cs="Arial"/>
          <w:sz w:val="20"/>
          <w:szCs w:val="20"/>
        </w:rPr>
        <w:t>resistente</w:t>
      </w:r>
      <w:fldSimple w:instr=" NOTEREF _Ref343110401 \h  \* MERGEFORMAT ">
        <w:r w:rsidR="00852CBE" w:rsidRPr="00852CBE">
          <w:rPr>
            <w:rFonts w:cs="Arial"/>
            <w:sz w:val="20"/>
            <w:szCs w:val="20"/>
            <w:vertAlign w:val="superscript"/>
          </w:rPr>
          <w:t>82</w:t>
        </w:r>
      </w:fldSimple>
      <w:r w:rsidRPr="00087A20">
        <w:rPr>
          <w:rFonts w:cs="Arial"/>
          <w:sz w:val="20"/>
          <w:szCs w:val="20"/>
        </w:rPr>
        <w:t>.</w:t>
      </w:r>
    </w:p>
    <w:p w:rsidR="00E81B3D" w:rsidRPr="00E953A0" w:rsidRDefault="00E81B3D" w:rsidP="0095046B">
      <w:pPr>
        <w:spacing w:before="120" w:after="120"/>
        <w:ind w:left="993"/>
        <w:jc w:val="center"/>
        <w:rPr>
          <w:rFonts w:ascii="Arial Bold" w:hAnsi="Arial Bold" w:cs="Arial Bold"/>
          <w:b/>
          <w:bCs/>
          <w:color w:val="000000"/>
          <w:sz w:val="15"/>
          <w:szCs w:val="14"/>
        </w:rPr>
      </w:pPr>
    </w:p>
    <w:p w:rsidR="00E81B3D" w:rsidRDefault="00E81B3D" w:rsidP="0095046B">
      <w:pPr>
        <w:spacing w:before="120" w:after="120"/>
        <w:ind w:left="993"/>
        <w:jc w:val="center"/>
        <w:rPr>
          <w:rFonts w:ascii="Arial Bold" w:hAnsi="Arial Bold" w:cs="Arial Bold"/>
          <w:b/>
          <w:bCs/>
          <w:color w:val="000000"/>
          <w:sz w:val="15"/>
          <w:szCs w:val="14"/>
        </w:rPr>
      </w:pPr>
    </w:p>
    <w:p w:rsidR="00651852" w:rsidRDefault="00651852" w:rsidP="0095046B">
      <w:pPr>
        <w:spacing w:before="120" w:after="120"/>
        <w:ind w:left="993"/>
        <w:jc w:val="center"/>
        <w:rPr>
          <w:rFonts w:ascii="Arial Bold" w:hAnsi="Arial Bold" w:cs="Arial Bold"/>
          <w:b/>
          <w:bCs/>
          <w:color w:val="000000"/>
          <w:sz w:val="15"/>
          <w:szCs w:val="14"/>
        </w:rPr>
      </w:pPr>
    </w:p>
    <w:p w:rsidR="00651852" w:rsidRDefault="00651852" w:rsidP="0095046B">
      <w:pPr>
        <w:spacing w:before="120" w:after="120"/>
        <w:ind w:left="993"/>
        <w:jc w:val="center"/>
        <w:rPr>
          <w:rFonts w:ascii="Arial Bold" w:hAnsi="Arial Bold" w:cs="Arial Bold"/>
          <w:b/>
          <w:bCs/>
          <w:color w:val="000000"/>
          <w:sz w:val="15"/>
          <w:szCs w:val="14"/>
        </w:rPr>
      </w:pPr>
    </w:p>
    <w:p w:rsidR="00651852" w:rsidRPr="00E953A0" w:rsidRDefault="00651852" w:rsidP="0095046B">
      <w:pPr>
        <w:spacing w:before="120" w:after="120"/>
        <w:ind w:left="993"/>
        <w:jc w:val="center"/>
        <w:rPr>
          <w:rFonts w:ascii="Arial Bold" w:hAnsi="Arial Bold" w:cs="Arial Bold"/>
          <w:b/>
          <w:bCs/>
          <w:color w:val="000000"/>
          <w:sz w:val="15"/>
          <w:szCs w:val="14"/>
        </w:rPr>
      </w:pPr>
    </w:p>
    <w:p w:rsidR="00E81B3D" w:rsidRDefault="00E81B3D" w:rsidP="00863413">
      <w:pPr>
        <w:spacing w:before="120" w:after="120"/>
        <w:ind w:left="993"/>
        <w:rPr>
          <w:rFonts w:cs="Arial"/>
          <w:b/>
          <w:caps/>
          <w:sz w:val="18"/>
          <w:szCs w:val="18"/>
        </w:rPr>
      </w:pPr>
      <w:r w:rsidRPr="00863413">
        <w:rPr>
          <w:rFonts w:cs="Arial"/>
          <w:b/>
          <w:sz w:val="18"/>
          <w:szCs w:val="18"/>
        </w:rPr>
        <w:lastRenderedPageBreak/>
        <w:t xml:space="preserve">Figura 3. </w:t>
      </w:r>
      <w:r>
        <w:rPr>
          <w:rFonts w:cs="Arial"/>
          <w:b/>
          <w:caps/>
          <w:sz w:val="18"/>
          <w:szCs w:val="18"/>
        </w:rPr>
        <w:t>Posibles combinacionES</w:t>
      </w:r>
      <w:r w:rsidRPr="00863413">
        <w:rPr>
          <w:rFonts w:cs="Arial"/>
          <w:b/>
          <w:caps/>
          <w:sz w:val="18"/>
          <w:szCs w:val="18"/>
        </w:rPr>
        <w:t xml:space="preserve"> de algunas clases de fármacos antihipertensivos. Las combinaciones preferidas se representan con líneas gruesas</w:t>
      </w:r>
    </w:p>
    <w:p w:rsidR="00E81B3D" w:rsidRPr="00863413" w:rsidRDefault="00E81B3D" w:rsidP="00863413">
      <w:pPr>
        <w:spacing w:before="120" w:after="120"/>
        <w:ind w:left="993"/>
        <w:rPr>
          <w:rFonts w:cs="Arial"/>
          <w:b/>
          <w:sz w:val="12"/>
          <w:szCs w:val="12"/>
        </w:rPr>
      </w:pPr>
    </w:p>
    <w:p w:rsidR="00E81B3D" w:rsidRDefault="00936BE3" w:rsidP="0095046B">
      <w:pPr>
        <w:spacing w:before="120" w:after="120"/>
        <w:ind w:left="993"/>
        <w:jc w:val="center"/>
        <w:rPr>
          <w:rFonts w:cs="Arial"/>
          <w:sz w:val="20"/>
          <w:szCs w:val="20"/>
        </w:rPr>
      </w:pPr>
      <w:r>
        <w:rPr>
          <w:rFonts w:cs="Arial"/>
          <w:sz w:val="20"/>
          <w:szCs w:val="20"/>
        </w:rPr>
      </w:r>
      <w:r>
        <w:rPr>
          <w:rFonts w:cs="Arial"/>
          <w:sz w:val="20"/>
          <w:szCs w:val="20"/>
        </w:rPr>
        <w:pict>
          <v:group id="_x0000_s1026" editas="canvas" style="width:296.1pt;height:219.4pt;mso-position-horizontal-relative:char;mso-position-vertical-relative:line" coordsize="5760,4269">
            <o:lock v:ext="edit" aspectratio="t"/>
            <v:shape id="_x0000_s1027" type="#_x0000_t75" style="position:absolute;width:5760;height:4269" o:preferrelative="f">
              <v:fill o:detectmouseclick="t"/>
              <v:path o:extrusionok="t" o:connecttype="none"/>
              <o:lock v:ext="edit" text="t"/>
            </v:shape>
            <v:shape id="_x0000_s1028" style="position:absolute;width:5760;height:4269" coordsize="6399,4799" path="m,4799r,l6399,4799,6399,,,,,4799xe" strokeweight="0">
              <v:path arrowok="t"/>
            </v:shape>
            <v:shape id="_x0000_s1029" style="position:absolute;width:5760;height:4269" coordsize="6399,4799" path="m,4799r,l6399,4799,6399,,,,,4799xe" strokeweight="0">
              <v:path arrowok="t"/>
            </v:shape>
            <v:rect id="_x0000_s1030" style="position:absolute;left:2568;top:681;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D</w:t>
                    </w:r>
                  </w:p>
                </w:txbxContent>
              </v:textbox>
            </v:rect>
            <v:rect id="_x0000_s1031" style="position:absolute;left:2673;top:681;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i</w:t>
                    </w:r>
                  </w:p>
                </w:txbxContent>
              </v:textbox>
            </v:rect>
            <v:rect id="_x0000_s1032" style="position:absolute;left:2712;top:681;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u</w:t>
                    </w:r>
                  </w:p>
                </w:txbxContent>
              </v:textbox>
            </v:rect>
            <v:rect id="_x0000_s1033" style="position:absolute;left:2800;top:681;width:5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r</w:t>
                    </w:r>
                  </w:p>
                </w:txbxContent>
              </v:textbox>
            </v:rect>
            <v:rect id="_x0000_s1034" style="position:absolute;left:2856;top:681;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é</w:t>
                    </w:r>
                  </w:p>
                </w:txbxContent>
              </v:textbox>
            </v:rect>
            <v:rect id="_x0000_s1035" style="position:absolute;left:2936;top:681;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ti</w:t>
                    </w:r>
                  </w:p>
                </w:txbxContent>
              </v:textbox>
            </v:rect>
            <v:rect id="_x0000_s1036" style="position:absolute;left:3025;top:681;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c</w:t>
                    </w:r>
                  </w:p>
                </w:txbxContent>
              </v:textbox>
            </v:rect>
            <v:rect id="_x0000_s1037" style="position:absolute;left:3105;top:681;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o</w:t>
                    </w:r>
                  </w:p>
                </w:txbxContent>
              </v:textbox>
            </v:rect>
            <v:rect id="_x0000_s1038" style="position:absolute;left:3193;top:681;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s</w:t>
                    </w:r>
                  </w:p>
                </w:txbxContent>
              </v:textbox>
            </v:rect>
            <v:rect id="_x0000_s1039" style="position:absolute;left:3233;top:681;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rect id="_x0000_s1040" style="position:absolute;left:2710;top:3680;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I</w:t>
                    </w:r>
                  </w:p>
                </w:txbxContent>
              </v:textbox>
            </v:rect>
            <v:rect id="_x0000_s1041" style="position:absolute;left:2750;top:3680;width:19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EC</w:t>
                    </w:r>
                  </w:p>
                </w:txbxContent>
              </v:textbox>
            </v:rect>
            <v:rect id="_x0000_s1042" style="position:absolute;left:2950;top:3680;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43" style="position:absolute;left:3015;top:3680;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rect id="_x0000_s1044" style="position:absolute;left:4045;top:2842;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C</w:t>
                    </w:r>
                  </w:p>
                </w:txbxContent>
              </v:textbox>
            </v:rect>
            <v:rect id="_x0000_s1045" style="position:absolute;left:4150;top:2842;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46" style="position:absolute;left:4230;top:2842;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l</w:t>
                    </w:r>
                  </w:p>
                </w:txbxContent>
              </v:textbox>
            </v:rect>
            <v:rect id="_x0000_s1047" style="position:absolute;left:4270;top:2842;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c</w:t>
                    </w:r>
                  </w:p>
                </w:txbxContent>
              </v:textbox>
            </v:rect>
            <v:rect id="_x0000_s1048" style="position:absolute;left:4350;top:2842;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i</w:t>
                    </w:r>
                  </w:p>
                </w:txbxContent>
              </v:textbox>
            </v:rect>
            <v:rect id="_x0000_s1049" style="position:absolute;left:4390;top:2842;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o</w:t>
                    </w:r>
                  </w:p>
                </w:txbxContent>
              </v:textbox>
            </v:rect>
            <v:rect id="_x0000_s1050" style="position:absolute;left:4478;top:2842;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51" style="position:absolute;left:4559;top:2842;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n</w:t>
                    </w:r>
                  </w:p>
                </w:txbxContent>
              </v:textbox>
            </v:rect>
            <v:rect id="_x0000_s1052" style="position:absolute;left:4646;top:2842;width:12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ta</w:t>
                    </w:r>
                  </w:p>
                </w:txbxContent>
              </v:textbox>
            </v:rect>
            <v:rect id="_x0000_s1053" style="position:absolute;left:4775;top:2842;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g</w:t>
                    </w:r>
                  </w:p>
                </w:txbxContent>
              </v:textbox>
            </v:rect>
            <v:rect id="_x0000_s1054" style="position:absolute;left:4862;top:2842;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o</w:t>
                    </w:r>
                  </w:p>
                </w:txbxContent>
              </v:textbox>
            </v:rect>
            <v:rect id="_x0000_s1055" style="position:absolute;left:4950;top:2842;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n</w:t>
                    </w:r>
                  </w:p>
                </w:txbxContent>
              </v:textbox>
            </v:rect>
            <v:rect id="_x0000_s1056" style="position:absolute;left:5038;top:2842;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i</w:t>
                    </w:r>
                  </w:p>
                </w:txbxContent>
              </v:textbox>
            </v:rect>
            <v:rect id="_x0000_s1057" style="position:absolute;left:5078;top:2842;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s</w:t>
                    </w:r>
                  </w:p>
                </w:txbxContent>
              </v:textbox>
            </v:rect>
            <v:rect id="_x0000_s1058" style="position:absolute;left:5158;top:2842;width:12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ta</w:t>
                    </w:r>
                  </w:p>
                </w:txbxContent>
              </v:textbox>
            </v:rect>
            <v:rect id="_x0000_s1059" style="position:absolute;left:5287;top:2842;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s</w:t>
                    </w:r>
                  </w:p>
                </w:txbxContent>
              </v:textbox>
            </v:rect>
            <v:rect id="_x0000_s1060" style="position:absolute;left:5326;top:2842;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rect id="_x0000_s1061" style="position:absolute;left:4276;top:1457;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62" style="position:absolute;left:4380;top:1457;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R</w:t>
                    </w:r>
                  </w:p>
                </w:txbxContent>
              </v:textbox>
            </v:rect>
            <v:rect id="_x0000_s1063" style="position:absolute;left:4484;top:1457;width:102;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64" style="position:absolute;left:4588;top:1457;width:12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-2</w:t>
                    </w:r>
                  </w:p>
                </w:txbxContent>
              </v:textbox>
            </v:rect>
            <v:rect id="_x0000_s1065" style="position:absolute;left:4676;top:1457;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rect id="_x0000_s1066" style="position:absolute;left:623;top:142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ß</w:t>
                    </w:r>
                  </w:p>
                </w:txbxContent>
              </v:textbox>
            </v:rect>
            <v:rect id="_x0000_s1067" style="position:absolute;left:711;top:1424;width:133;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-b</w:t>
                    </w:r>
                  </w:p>
                </w:txbxContent>
              </v:textbox>
            </v:rect>
            <v:rect id="_x0000_s1068" style="position:absolute;left:847;top:1424;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l</w:t>
                    </w:r>
                  </w:p>
                </w:txbxContent>
              </v:textbox>
            </v:rect>
            <v:rect id="_x0000_s1069" style="position:absolute;left:888;top:142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o</w:t>
                    </w:r>
                  </w:p>
                </w:txbxContent>
              </v:textbox>
            </v:rect>
            <v:rect id="_x0000_s1070" style="position:absolute;left:975;top:142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q</w:t>
                    </w:r>
                  </w:p>
                </w:txbxContent>
              </v:textbox>
            </v:rect>
            <v:rect id="_x0000_s1071" style="position:absolute;left:1063;top:142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u</w:t>
                    </w:r>
                  </w:p>
                </w:txbxContent>
              </v:textbox>
            </v:rect>
            <v:rect id="_x0000_s1072" style="position:absolute;left:1151;top:142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e</w:t>
                    </w:r>
                  </w:p>
                </w:txbxContent>
              </v:textbox>
            </v:rect>
            <v:rect id="_x0000_s1073" style="position:absolute;left:1231;top:142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74" style="position:absolute;left:1312;top:142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n</w:t>
                    </w:r>
                  </w:p>
                </w:txbxContent>
              </v:textbox>
            </v:rect>
            <v:rect id="_x0000_s1075" style="position:absolute;left:1400;top:1424;width:12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te</w:t>
                    </w:r>
                  </w:p>
                </w:txbxContent>
              </v:textbox>
            </v:rect>
            <v:rect id="_x0000_s1076" style="position:absolute;left:1528;top:142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s</w:t>
                    </w:r>
                  </w:p>
                </w:txbxContent>
              </v:textbox>
            </v:rect>
            <v:rect id="_x0000_s1077" style="position:absolute;left:1567;top:1424;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shape id="_x0000_s1078" style="position:absolute;left:1893;top:1035;width:970;height:1890" coordsize="1077,2125" path="m,2125r,l64,1998t48,-95l112,1903r65,-127m225,1681r,l289,1554t48,-95l337,1459r65,-127m450,1237r,l514,1110t48,-95l562,1015,627,888t48,-95l675,793,739,666t49,-95l788,571,852,444t48,-95l900,349,964,222t49,-95l1013,127,1077,e" filled="f" strokeweight="1.6pt">
              <v:path arrowok="t"/>
              <o:lock v:ext="edit" verticies="t"/>
            </v:shape>
            <v:shape id="_x0000_s1079" style="position:absolute;left:1893;top:1667;width:1997;height:1258" coordsize="2218,1415" path="m,1415r,l120,1338t90,-57l210,1281r120,-77m420,1147r,l539,1070t90,-57l629,1013,749,937t90,-58l839,879,959,803t90,-58l1049,745r120,-76m1259,612r,l1379,535t90,-57l1469,478r120,-77m1679,344r,l1799,268t90,-58l1889,210r119,-76m2098,76r,l2218,e" filled="f" strokeweight="1.6pt">
              <v:path arrowok="t"/>
              <o:lock v:ext="edit" verticies="t"/>
            </v:shape>
            <v:shape id="_x0000_s1080" style="position:absolute;left:1883;top:1638;width:1920;height:1" coordsize="2133,0" path="m,l,,142,m249,r,l391,m498,r,l640,m746,r,l889,m995,r,l1138,t106,l1244,r142,m1493,r,l1635,t107,l1742,r142,m1991,r,l2133,e" filled="f" strokeweight="1.6pt">
              <v:path arrowok="t"/>
              <o:lock v:ext="edit" verticies="t"/>
            </v:shape>
            <v:shape id="_x0000_s1081" style="position:absolute;left:1893;top:2947;width:1920;height:1" coordsize="2133,0" path="m,l,,142,m249,r,l391,m498,r,l640,m746,r,l889,m995,r,l1138,t106,l1244,r142,m1493,r,l1635,t107,l1742,r142,m1991,r,l2133,e" filled="f" strokeweight="1.6pt">
              <v:path arrowok="t"/>
              <o:lock v:ext="edit" verticies="t"/>
            </v:shape>
            <v:shape id="_x0000_s1082" style="position:absolute;left:1893;top:1615;width:960;height:1896" coordsize="1066,2131" path="m,l,,63,127t48,96l111,223r64,127m223,445r,l286,573t48,95l334,668r64,127m445,891r,l509,1018t48,95l557,1113r63,127m668,1336r,l732,1463t48,95l780,1558r63,127m891,1781r,l955,1908t47,95l1002,2003r64,128e" filled="f" strokeweight="1.6pt">
              <v:path arrowok="t"/>
              <o:lock v:ext="edit" verticies="t"/>
            </v:shape>
            <v:shape id="_x0000_s1083" style="position:absolute;left:2890;top:989;width:986;height:1885" coordsize="1095,2119" path="m,l,,1095,2119e" filled="f" strokeweight="1.6pt">
              <v:path arrowok="t"/>
            </v:shape>
            <v:shape id="_x0000_s1084" style="position:absolute;left:2910;top:1652;width:964;height:1893" coordsize="1071,2128" path="m1071,r,l1007,127t-48,96l959,223,895,350t-48,95l847,445,783,572t-48,95l735,667,671,794t-48,96l623,890r-64,127m511,1112r,l448,1239t-48,95l400,1334r-64,127m288,1557r,l224,1684t-48,95l176,1779r-64,127m64,2001r,l,2128e" filled="f" strokeweight="1.6pt">
              <v:path arrowok="t"/>
              <o:lock v:ext="edit" verticies="t"/>
            </v:shape>
            <v:shape id="_x0000_s1085" style="position:absolute;left:1871;top:2924;width:1021;height:656" coordsize="1135,738" path="m,l,,120,78t89,58l209,136r119,78m418,272r,l537,349t89,58l626,407r120,78m835,543r,l954,621t90,58l1044,679r91,59e" filled="f" strokeweight="1.6pt">
              <v:path arrowok="t"/>
              <o:lock v:ext="edit" verticies="t"/>
            </v:shape>
            <v:shape id="_x0000_s1086" style="position:absolute;left:2893;top:1005;width:1;height:2580" coordsize="0,2901" path="m,l,,,2901e" filled="f" strokeweight="1.6pt">
              <v:path arrowok="t"/>
            </v:shape>
            <v:shape id="_x0000_s1087" style="position:absolute;left:1878;top:1625;width:2024;height:1322" coordsize="2249,1486" path="m,l,,2249,1486e" filled="f" strokeweight="1.6pt">
              <v:stroke dashstyle="dash"/>
              <v:path arrowok="t"/>
            </v:shape>
            <v:shape id="_x0000_s1088" style="position:absolute;left:1871;top:1630;width:1;height:1234" coordsize="0,1387" path="m,l,,,142m,249r,l,391m,498r,l,640m,747r,l,889m,996r,l,1138t,106l,1244r,143e" filled="f" strokeweight="1.6pt">
              <v:path arrowok="t"/>
              <o:lock v:ext="edit" verticies="t"/>
            </v:shape>
            <v:shape id="_x0000_s1089" style="position:absolute;left:2905;top:2948;width:988;height:630" coordsize="1098,709" path="m,709r,l1098,e" filled="f" strokeweight="1.6pt">
              <v:path arrowok="t"/>
            </v:shape>
            <v:rect id="_x0000_s1090" style="position:absolute;left:613;top:2823;width:89;height:172" filled="f" stroked="f">
              <v:textbox inset="0,0,0,0">
                <w:txbxContent>
                  <w:p w:rsidR="00651852" w:rsidRPr="00694067" w:rsidRDefault="00651852">
                    <w:pPr>
                      <w:rPr>
                        <w:sz w:val="23"/>
                      </w:rPr>
                    </w:pPr>
                    <w:r w:rsidRPr="00694067">
                      <w:rPr>
                        <w:rFonts w:ascii="Symbol" w:hAnsi="Symbol" w:cs="Symbol"/>
                        <w:b/>
                        <w:bCs/>
                        <w:color w:val="000000"/>
                        <w:sz w:val="15"/>
                        <w:szCs w:val="14"/>
                        <w:lang w:val="en-US"/>
                      </w:rPr>
                      <w:t></w:t>
                    </w:r>
                  </w:p>
                </w:txbxContent>
              </v:textbox>
            </v:rect>
            <v:rect id="_x0000_s1091" style="position:absolute;left:704;top:2915;width:56;height:115" filled="f" stroked="f">
              <v:textbox inset="0,0,0,0">
                <w:txbxContent>
                  <w:p w:rsidR="00651852" w:rsidRPr="00694067" w:rsidRDefault="00651852">
                    <w:pPr>
                      <w:rPr>
                        <w:sz w:val="23"/>
                      </w:rPr>
                    </w:pPr>
                    <w:r w:rsidRPr="00694067">
                      <w:rPr>
                        <w:rFonts w:ascii="Arial Bold" w:hAnsi="Arial Bold" w:cs="Arial Bold"/>
                        <w:b/>
                        <w:bCs/>
                        <w:color w:val="000000"/>
                        <w:sz w:val="11"/>
                        <w:szCs w:val="10"/>
                        <w:lang w:val="en-US"/>
                      </w:rPr>
                      <w:t>1</w:t>
                    </w:r>
                  </w:p>
                </w:txbxContent>
              </v:textbox>
            </v:rect>
            <v:rect id="_x0000_s1092" style="position:absolute;left:757;top:2834;width:133;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-b</w:t>
                    </w:r>
                  </w:p>
                </w:txbxContent>
              </v:textbox>
            </v:rect>
            <v:rect id="_x0000_s1093" style="position:absolute;left:893;top:2834;width:39;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l</w:t>
                    </w:r>
                  </w:p>
                </w:txbxContent>
              </v:textbox>
            </v:rect>
            <v:rect id="_x0000_s1094" style="position:absolute;left:933;top:283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o</w:t>
                    </w:r>
                  </w:p>
                </w:txbxContent>
              </v:textbox>
            </v:rect>
            <v:rect id="_x0000_s1095" style="position:absolute;left:1022;top:283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q</w:t>
                    </w:r>
                  </w:p>
                </w:txbxContent>
              </v:textbox>
            </v:rect>
            <v:rect id="_x0000_s1096" style="position:absolute;left:1109;top:283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u</w:t>
                    </w:r>
                  </w:p>
                </w:txbxContent>
              </v:textbox>
            </v:rect>
            <v:rect id="_x0000_s1097" style="position:absolute;left:1197;top:283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e</w:t>
                    </w:r>
                  </w:p>
                </w:txbxContent>
              </v:textbox>
            </v:rect>
            <v:rect id="_x0000_s1098" style="position:absolute;left:1277;top:283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a</w:t>
                    </w:r>
                  </w:p>
                </w:txbxContent>
              </v:textbox>
            </v:rect>
            <v:rect id="_x0000_s1099" style="position:absolute;left:1357;top:2834;width:86;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n</w:t>
                    </w:r>
                  </w:p>
                </w:txbxContent>
              </v:textbox>
            </v:rect>
            <v:rect id="_x0000_s1100" style="position:absolute;left:1446;top:2834;width:125;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te</w:t>
                    </w:r>
                  </w:p>
                </w:txbxContent>
              </v:textbox>
            </v:rect>
            <v:rect id="_x0000_s1101" style="position:absolute;left:1574;top:2834;width:78;height:161"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s</w:t>
                    </w:r>
                  </w:p>
                </w:txbxContent>
              </v:textbox>
            </v:rect>
            <v:rect id="_x0000_s1102" style="position:absolute;left:1614;top:2834;width:39;height:276" filled="f" stroked="f">
              <v:textbox inset="0,0,0,0">
                <w:txbxContent>
                  <w:p w:rsidR="00651852" w:rsidRPr="00694067" w:rsidRDefault="00651852">
                    <w:pPr>
                      <w:rPr>
                        <w:sz w:val="23"/>
                      </w:rPr>
                    </w:pPr>
                    <w:r w:rsidRPr="00694067">
                      <w:rPr>
                        <w:rFonts w:ascii="Arial Bold" w:hAnsi="Arial Bold" w:cs="Arial Bold"/>
                        <w:b/>
                        <w:bCs/>
                        <w:color w:val="000000"/>
                        <w:sz w:val="15"/>
                        <w:szCs w:val="14"/>
                        <w:lang w:val="en-US"/>
                      </w:rPr>
                      <w:t xml:space="preserve"> </w:t>
                    </w:r>
                  </w:p>
                </w:txbxContent>
              </v:textbox>
            </v:rect>
            <v:shape id="_x0000_s1103" style="position:absolute;left:3888;top:1651;width:1;height:1294" coordsize="1,1455" path="m,l,,1,1455e" filled="f" strokeweight="1.6pt">
              <v:path arrowok="t"/>
            </v:shape>
            <v:shape id="_x0000_s1104" style="position:absolute;left:1869;top:990;width:1023;height:648" coordsize="1137,729" path="m,729r,l120,652t90,-58l210,594,329,518t90,-58l419,460,539,383t90,-57l629,326,748,249t90,-58l838,191,958,115t90,-58l1048,57,1137,e" filled="f" strokeweight="1.6pt">
              <v:path arrowok="t"/>
              <o:lock v:ext="edit" verticies="t"/>
            </v:shape>
            <v:shape id="_x0000_s1105" style="position:absolute;left:2888;top:992;width:1018;height:654" coordsize="1131,735" path="m1131,735r,l,e" filled="f" strokeweight="1.6pt">
              <v:path arrowok="t"/>
            </v:shape>
            <w10:wrap type="none"/>
            <w10:anchorlock/>
          </v:group>
        </w:pict>
      </w:r>
    </w:p>
    <w:p w:rsidR="00E81B3D" w:rsidRDefault="00E81B3D" w:rsidP="00F67A72">
      <w:pPr>
        <w:spacing w:before="120" w:after="120"/>
        <w:ind w:left="993"/>
        <w:rPr>
          <w:rFonts w:cs="Arial"/>
          <w:sz w:val="20"/>
          <w:szCs w:val="20"/>
        </w:rPr>
      </w:pPr>
    </w:p>
    <w:p w:rsidR="00E81B3D" w:rsidRPr="00215D7C" w:rsidRDefault="00E81B3D" w:rsidP="00B62C24">
      <w:pPr>
        <w:pStyle w:val="Ttulo2"/>
        <w:ind w:left="993" w:hanging="426"/>
        <w:rPr>
          <w:rFonts w:ascii="Arial" w:hAnsi="Arial" w:cs="Arial"/>
          <w:i w:val="0"/>
          <w:sz w:val="20"/>
          <w:szCs w:val="20"/>
        </w:rPr>
      </w:pPr>
      <w:bookmarkStart w:id="47" w:name="_Toc341725529"/>
      <w:r w:rsidRPr="00215D7C">
        <w:rPr>
          <w:rFonts w:ascii="Arial" w:hAnsi="Arial" w:cs="Arial"/>
          <w:i w:val="0"/>
          <w:sz w:val="20"/>
          <w:szCs w:val="20"/>
        </w:rPr>
        <w:t>Manejo de la hiperglucemia en la ERC.</w:t>
      </w:r>
      <w:bookmarkEnd w:id="43"/>
      <w:bookmarkEnd w:id="44"/>
      <w:bookmarkEnd w:id="47"/>
    </w:p>
    <w:p w:rsidR="00E81B3D" w:rsidRPr="00C32896" w:rsidRDefault="00E81B3D" w:rsidP="003F020D">
      <w:pPr>
        <w:pStyle w:val="Ttulo3"/>
        <w:numPr>
          <w:ilvl w:val="0"/>
          <w:numId w:val="30"/>
        </w:numPr>
        <w:rPr>
          <w:rFonts w:ascii="Arial" w:hAnsi="Arial" w:cs="Arial"/>
          <w:sz w:val="20"/>
          <w:szCs w:val="20"/>
          <w:u w:val="single"/>
        </w:rPr>
      </w:pPr>
      <w:r w:rsidRPr="00C32896">
        <w:rPr>
          <w:rFonts w:ascii="Arial" w:hAnsi="Arial" w:cs="Arial"/>
          <w:sz w:val="20"/>
          <w:szCs w:val="20"/>
        </w:rPr>
        <w:t>Objetivos de manejo.</w:t>
      </w:r>
    </w:p>
    <w:p w:rsidR="00E81B3D" w:rsidRPr="00DA3051" w:rsidRDefault="00E81B3D" w:rsidP="00F01C09">
      <w:pPr>
        <w:numPr>
          <w:ilvl w:val="0"/>
          <w:numId w:val="2"/>
        </w:numPr>
        <w:spacing w:before="120" w:after="120"/>
        <w:ind w:left="1701" w:hanging="283"/>
        <w:rPr>
          <w:rFonts w:cs="Arial"/>
          <w:b/>
          <w:sz w:val="20"/>
          <w:szCs w:val="20"/>
        </w:rPr>
      </w:pPr>
      <w:r>
        <w:rPr>
          <w:rFonts w:cs="Arial"/>
          <w:b/>
          <w:sz w:val="20"/>
          <w:szCs w:val="20"/>
        </w:rPr>
        <w:t>¿Cómo valorar el control</w:t>
      </w:r>
      <w:r w:rsidRPr="00F01C09">
        <w:rPr>
          <w:rFonts w:cs="Arial"/>
          <w:b/>
          <w:sz w:val="20"/>
          <w:szCs w:val="20"/>
        </w:rPr>
        <w:t xml:space="preserve"> metabólico?</w:t>
      </w:r>
    </w:p>
    <w:p w:rsidR="00E81B3D" w:rsidRPr="0049306A" w:rsidRDefault="00E81B3D" w:rsidP="00556EC0">
      <w:pPr>
        <w:spacing w:before="120" w:after="120"/>
        <w:ind w:left="1701"/>
        <w:rPr>
          <w:rFonts w:cs="Arial"/>
          <w:sz w:val="20"/>
          <w:szCs w:val="20"/>
        </w:rPr>
      </w:pPr>
      <w:r w:rsidRPr="0049306A">
        <w:rPr>
          <w:rFonts w:cs="Arial"/>
          <w:sz w:val="20"/>
          <w:szCs w:val="20"/>
        </w:rPr>
        <w:t>La hemoglobina glicosilada A1c (HbA1c) es el parámetro de referencia para valorar el control metabólico en el paciente con ERC pero conviene tener presente que en la ERC existen unas circunstancias que condicionan su precisión.</w:t>
      </w:r>
    </w:p>
    <w:p w:rsidR="00E81B3D" w:rsidRPr="0049306A" w:rsidRDefault="00E81B3D" w:rsidP="00556EC0">
      <w:pPr>
        <w:spacing w:before="120" w:after="120"/>
        <w:ind w:left="1701"/>
        <w:rPr>
          <w:rFonts w:cs="Arial"/>
          <w:sz w:val="20"/>
          <w:szCs w:val="20"/>
        </w:rPr>
      </w:pPr>
      <w:r w:rsidRPr="0049306A">
        <w:rPr>
          <w:rFonts w:cs="Arial"/>
          <w:sz w:val="20"/>
          <w:szCs w:val="20"/>
        </w:rPr>
        <w:t>Así la uremia favorece la formación de carbamilato de hemoglobina que interfiere en la determinación de HbA1c, cuando se miden por cromatografía líquida de alta resolución (HPLC) dando lugar a niveles falsamente elevados.</w:t>
      </w:r>
    </w:p>
    <w:p w:rsidR="00E81B3D" w:rsidRPr="0049306A" w:rsidRDefault="00E81B3D" w:rsidP="00556EC0">
      <w:pPr>
        <w:spacing w:before="120" w:after="120"/>
        <w:ind w:left="1701"/>
        <w:rPr>
          <w:rFonts w:cs="Arial"/>
          <w:sz w:val="20"/>
          <w:szCs w:val="20"/>
        </w:rPr>
      </w:pPr>
      <w:r w:rsidRPr="0049306A">
        <w:rPr>
          <w:rFonts w:cs="Arial"/>
          <w:sz w:val="20"/>
          <w:szCs w:val="20"/>
        </w:rPr>
        <w:t xml:space="preserve">Por el contrario hay otros factores que pueden producir un falso descenso en los niveles de HbA1c, como la menor vida media de los eritrocitos, las transfusiones, el aumento de la eritropoyesis tras el tratamiento con eritropoyetina </w:t>
      </w:r>
      <w:r w:rsidRPr="0049306A">
        <w:rPr>
          <w:rStyle w:val="Refdenotaalfinal"/>
          <w:rFonts w:cs="Arial"/>
          <w:sz w:val="20"/>
          <w:szCs w:val="20"/>
        </w:rPr>
        <w:endnoteReference w:id="93"/>
      </w:r>
      <w:r w:rsidRPr="0049306A">
        <w:rPr>
          <w:rFonts w:cs="Arial"/>
          <w:sz w:val="20"/>
          <w:szCs w:val="20"/>
        </w:rPr>
        <w:t xml:space="preserve"> </w:t>
      </w:r>
      <w:r w:rsidRPr="0049306A">
        <w:rPr>
          <w:rStyle w:val="Refdenotaalfinal"/>
          <w:rFonts w:cs="Arial"/>
          <w:sz w:val="20"/>
          <w:szCs w:val="20"/>
        </w:rPr>
        <w:endnoteReference w:id="94"/>
      </w:r>
      <w:r w:rsidRPr="0049306A">
        <w:rPr>
          <w:rFonts w:cs="Arial"/>
          <w:sz w:val="20"/>
          <w:szCs w:val="20"/>
        </w:rPr>
        <w:t xml:space="preserve"> </w:t>
      </w:r>
      <w:r w:rsidRPr="0049306A">
        <w:rPr>
          <w:rStyle w:val="Refdenotaalfinal"/>
          <w:rFonts w:cs="Arial"/>
          <w:sz w:val="20"/>
          <w:szCs w:val="20"/>
        </w:rPr>
        <w:endnoteReference w:id="95"/>
      </w:r>
      <w:r w:rsidRPr="0049306A">
        <w:rPr>
          <w:rFonts w:cs="Arial"/>
          <w:sz w:val="20"/>
          <w:szCs w:val="20"/>
        </w:rPr>
        <w:t xml:space="preserve"> </w:t>
      </w:r>
      <w:r w:rsidRPr="0049306A">
        <w:rPr>
          <w:rStyle w:val="Refdenotaalfinal"/>
          <w:rFonts w:cs="Arial"/>
          <w:sz w:val="20"/>
          <w:szCs w:val="20"/>
        </w:rPr>
        <w:endnoteReference w:id="96"/>
      </w:r>
      <w:r w:rsidRPr="0049306A">
        <w:rPr>
          <w:rFonts w:cs="Arial"/>
          <w:sz w:val="20"/>
          <w:szCs w:val="20"/>
        </w:rPr>
        <w:t xml:space="preserve"> </w:t>
      </w:r>
      <w:r w:rsidRPr="0049306A">
        <w:rPr>
          <w:rStyle w:val="Refdenotaalfinal"/>
          <w:rFonts w:cs="Arial"/>
          <w:sz w:val="20"/>
          <w:szCs w:val="20"/>
        </w:rPr>
        <w:endnoteReference w:id="97"/>
      </w:r>
      <w:r w:rsidRPr="0049306A">
        <w:rPr>
          <w:rFonts w:cs="Arial"/>
          <w:sz w:val="20"/>
          <w:szCs w:val="20"/>
        </w:rPr>
        <w:t xml:space="preserve"> </w:t>
      </w:r>
      <w:r w:rsidRPr="0049306A">
        <w:rPr>
          <w:rStyle w:val="Refdenotaalfinal"/>
          <w:rFonts w:cs="Arial"/>
          <w:sz w:val="20"/>
          <w:szCs w:val="20"/>
        </w:rPr>
        <w:endnoteReference w:id="98"/>
      </w:r>
      <w:r w:rsidRPr="0049306A">
        <w:rPr>
          <w:rFonts w:cs="Arial"/>
          <w:sz w:val="20"/>
          <w:szCs w:val="20"/>
        </w:rPr>
        <w:t>.</w:t>
      </w:r>
    </w:p>
    <w:p w:rsidR="00E81B3D" w:rsidRPr="0049306A" w:rsidRDefault="00E81B3D" w:rsidP="00556EC0">
      <w:pPr>
        <w:spacing w:before="120" w:after="120"/>
        <w:ind w:left="1701"/>
        <w:rPr>
          <w:rFonts w:cs="Arial"/>
          <w:sz w:val="20"/>
          <w:szCs w:val="20"/>
        </w:rPr>
      </w:pPr>
      <w:r w:rsidRPr="0049306A">
        <w:rPr>
          <w:rFonts w:cs="Arial"/>
          <w:sz w:val="20"/>
          <w:szCs w:val="20"/>
        </w:rPr>
        <w:t xml:space="preserve">Por todos estos factores algunos autores sugieren utilizar la determinación de la albumina glicosilada como método de valoración del control glucémico en los pacientes en hemodiálisis </w:t>
      </w:r>
      <w:bookmarkStart w:id="48" w:name="_Ref343110642"/>
      <w:r w:rsidRPr="0049306A">
        <w:rPr>
          <w:rStyle w:val="Refdenotaalfinal"/>
          <w:rFonts w:cs="Arial"/>
          <w:sz w:val="20"/>
          <w:szCs w:val="20"/>
        </w:rPr>
        <w:endnoteReference w:id="99"/>
      </w:r>
      <w:bookmarkEnd w:id="48"/>
      <w:r w:rsidRPr="0049306A">
        <w:rPr>
          <w:rFonts w:cs="Arial"/>
          <w:sz w:val="20"/>
          <w:szCs w:val="20"/>
        </w:rPr>
        <w:t xml:space="preserve"> </w:t>
      </w:r>
      <w:bookmarkStart w:id="49" w:name="_Ref343110371"/>
      <w:r w:rsidRPr="0049306A">
        <w:rPr>
          <w:rStyle w:val="Refdenotaalfinal"/>
          <w:rFonts w:cs="Arial"/>
          <w:sz w:val="20"/>
          <w:szCs w:val="20"/>
        </w:rPr>
        <w:endnoteReference w:id="100"/>
      </w:r>
      <w:bookmarkEnd w:id="49"/>
      <w:r w:rsidRPr="0049306A">
        <w:rPr>
          <w:rFonts w:cs="Arial"/>
          <w:sz w:val="20"/>
          <w:szCs w:val="20"/>
        </w:rPr>
        <w:t xml:space="preserve">, sin embargo esta posición no </w:t>
      </w:r>
      <w:r w:rsidR="00543228">
        <w:rPr>
          <w:rFonts w:cs="Arial"/>
          <w:sz w:val="20"/>
          <w:szCs w:val="20"/>
        </w:rPr>
        <w:t>es la mayoritariamente aceptada</w:t>
      </w:r>
      <w:r w:rsidR="00543228" w:rsidRPr="00543228">
        <w:t xml:space="preserve"> </w:t>
      </w:r>
      <w:r w:rsidR="00543228" w:rsidRPr="00543228">
        <w:rPr>
          <w:rFonts w:cs="Arial"/>
          <w:sz w:val="20"/>
          <w:szCs w:val="20"/>
        </w:rPr>
        <w:t>y además el coste económico es muy superior.</w:t>
      </w:r>
    </w:p>
    <w:p w:rsidR="00E81B3D" w:rsidRPr="00DA3051" w:rsidRDefault="00E81B3D" w:rsidP="00556EC0">
      <w:pPr>
        <w:numPr>
          <w:ilvl w:val="0"/>
          <w:numId w:val="2"/>
        </w:numPr>
        <w:spacing w:before="120" w:after="120"/>
        <w:ind w:left="1701" w:hanging="283"/>
        <w:rPr>
          <w:rFonts w:cs="Arial"/>
          <w:b/>
          <w:sz w:val="20"/>
          <w:szCs w:val="20"/>
        </w:rPr>
      </w:pPr>
      <w:r>
        <w:rPr>
          <w:rFonts w:cs="Arial"/>
          <w:b/>
          <w:sz w:val="20"/>
          <w:szCs w:val="20"/>
        </w:rPr>
        <w:t>¿</w:t>
      </w:r>
      <w:r w:rsidRPr="00F01C09">
        <w:rPr>
          <w:rFonts w:cs="Arial"/>
          <w:b/>
          <w:sz w:val="20"/>
          <w:szCs w:val="20"/>
        </w:rPr>
        <w:t>Objetivos de control glucémico?</w:t>
      </w:r>
    </w:p>
    <w:p w:rsidR="00E81B3D" w:rsidRPr="0049306A" w:rsidRDefault="00E81B3D" w:rsidP="00556EC0">
      <w:pPr>
        <w:spacing w:before="120" w:after="120"/>
        <w:ind w:left="1701"/>
        <w:rPr>
          <w:rFonts w:cs="Arial"/>
          <w:sz w:val="20"/>
          <w:szCs w:val="20"/>
        </w:rPr>
      </w:pPr>
      <w:r w:rsidRPr="0049306A">
        <w:rPr>
          <w:rFonts w:cs="Arial"/>
          <w:sz w:val="20"/>
          <w:szCs w:val="20"/>
        </w:rPr>
        <w:t xml:space="preserve">A partir de las evidencias que disponemos hoy día hay consenso en que para la mayoría de los pacientes con DM de poco tiempo de evolución y sin ninguna condición que les disminuya la expectativa de vida el objetivo debe ser HbA1c &lt; 7%. </w:t>
      </w:r>
    </w:p>
    <w:p w:rsidR="00E81B3D" w:rsidRPr="0049306A" w:rsidRDefault="00E81B3D" w:rsidP="00495DAB">
      <w:pPr>
        <w:spacing w:before="120" w:after="120"/>
        <w:ind w:left="1701"/>
        <w:rPr>
          <w:rFonts w:cs="Arial"/>
          <w:sz w:val="20"/>
          <w:szCs w:val="20"/>
        </w:rPr>
      </w:pPr>
      <w:r w:rsidRPr="0049306A">
        <w:rPr>
          <w:rFonts w:cs="Arial"/>
          <w:sz w:val="20"/>
          <w:szCs w:val="20"/>
        </w:rPr>
        <w:t xml:space="preserve">Por el contrario para los pacientes con DM de larga evolución con historia previa de mal control glucémico o con una condición que les disminuya las expectativas de vida se debe individualizar el objetivo de control evitando las estrategias terapéuticas que supongan un incremento no aceptable del riesgo de hipoglucemia </w:t>
      </w:r>
    </w:p>
    <w:p w:rsidR="00E81B3D" w:rsidRPr="0049306A" w:rsidRDefault="00E81B3D" w:rsidP="00556EC0">
      <w:pPr>
        <w:spacing w:before="120" w:after="120"/>
        <w:ind w:left="1701"/>
        <w:rPr>
          <w:rFonts w:cs="Arial"/>
          <w:sz w:val="20"/>
          <w:szCs w:val="20"/>
        </w:rPr>
      </w:pPr>
      <w:r w:rsidRPr="0049306A">
        <w:rPr>
          <w:rFonts w:cs="Arial"/>
          <w:sz w:val="20"/>
          <w:szCs w:val="20"/>
        </w:rPr>
        <w:t xml:space="preserve">La mayoría de los estudios que han valorado el objetivo de control glucémico mediante HbA1c no tenían estratificados a los pacientes en función del FG o el aclaramiento de creatinina, a lo sumo el estatus renal fue valorado mediante </w:t>
      </w:r>
      <w:r>
        <w:rPr>
          <w:rFonts w:cs="Arial"/>
          <w:sz w:val="20"/>
          <w:szCs w:val="20"/>
        </w:rPr>
        <w:t>la concentración</w:t>
      </w:r>
      <w:r w:rsidRPr="0049306A">
        <w:rPr>
          <w:rFonts w:cs="Arial"/>
          <w:sz w:val="20"/>
          <w:szCs w:val="20"/>
        </w:rPr>
        <w:t xml:space="preserve"> de creatinina sérica. Pero por el perfil de riesgo cardiovascular podemos intuir que la mayoría de los pacientes con ERC en estadios 4 y 5 pertenecen al segundo grupo, de hecho las guías 2005 K/DOQI </w:t>
      </w:r>
      <w:fldSimple w:instr=" NOTEREF _Ref343110642 \h  \* MERGEFORMAT ">
        <w:r w:rsidR="00852CBE" w:rsidRPr="00852CBE">
          <w:rPr>
            <w:rFonts w:cs="Arial"/>
            <w:sz w:val="20"/>
            <w:szCs w:val="20"/>
            <w:vertAlign w:val="superscript"/>
          </w:rPr>
          <w:t>98</w:t>
        </w:r>
      </w:fldSimple>
      <w:r>
        <w:rPr>
          <w:rFonts w:cs="Arial"/>
          <w:sz w:val="20"/>
          <w:szCs w:val="20"/>
        </w:rPr>
        <w:t xml:space="preserve"> </w:t>
      </w:r>
      <w:r w:rsidRPr="0049306A">
        <w:rPr>
          <w:rFonts w:cs="Arial"/>
          <w:sz w:val="20"/>
          <w:szCs w:val="20"/>
        </w:rPr>
        <w:t xml:space="preserve">no tienen establecido un nivel optimo de HbA1c para los pacientes en diálisis. Algunos estudios con un </w:t>
      </w:r>
      <w:r w:rsidRPr="0049306A">
        <w:rPr>
          <w:rFonts w:cs="Arial"/>
          <w:sz w:val="20"/>
          <w:szCs w:val="20"/>
        </w:rPr>
        <w:lastRenderedPageBreak/>
        <w:t xml:space="preserve">tamaño muestral pequeño han mostrado algún beneficio optimizando el control </w:t>
      </w:r>
      <w:fldSimple w:instr=" NOTEREF _Ref343110371 \h  \* MERGEFORMAT ">
        <w:r w:rsidR="00852CBE" w:rsidRPr="00852CBE">
          <w:rPr>
            <w:rFonts w:cs="Arial"/>
            <w:sz w:val="20"/>
            <w:szCs w:val="20"/>
            <w:vertAlign w:val="superscript"/>
          </w:rPr>
          <w:t>99</w:t>
        </w:r>
      </w:fldSimple>
      <w:r w:rsidRPr="0049306A">
        <w:rPr>
          <w:rFonts w:cs="Arial"/>
          <w:sz w:val="20"/>
          <w:szCs w:val="20"/>
        </w:rPr>
        <w:t xml:space="preserve"> </w:t>
      </w:r>
      <w:r w:rsidRPr="0049306A">
        <w:rPr>
          <w:rStyle w:val="Refdenotaalfinal"/>
          <w:rFonts w:cs="Arial"/>
          <w:sz w:val="20"/>
          <w:szCs w:val="20"/>
        </w:rPr>
        <w:endnoteReference w:id="101"/>
      </w:r>
      <w:r w:rsidRPr="0049306A">
        <w:rPr>
          <w:rFonts w:cs="Arial"/>
          <w:sz w:val="20"/>
          <w:szCs w:val="20"/>
        </w:rPr>
        <w:t xml:space="preserve"> </w:t>
      </w:r>
      <w:r w:rsidRPr="0049306A">
        <w:rPr>
          <w:rStyle w:val="Refdenotaalfinal"/>
          <w:rFonts w:cs="Arial"/>
          <w:sz w:val="20"/>
          <w:szCs w:val="20"/>
        </w:rPr>
        <w:endnoteReference w:id="102"/>
      </w:r>
      <w:r w:rsidRPr="0049306A">
        <w:rPr>
          <w:rFonts w:cs="Arial"/>
          <w:sz w:val="20"/>
          <w:szCs w:val="20"/>
        </w:rPr>
        <w:t xml:space="preserve">, así por ejemplo en un estudio transversal de pacientes con diálisis, aquellos que tuvieron peor control presentaron más prevalencia de enfermedad microvascular </w:t>
      </w:r>
      <w:r w:rsidRPr="0049306A">
        <w:rPr>
          <w:rStyle w:val="Refdenotaalfinal"/>
          <w:rFonts w:cs="Arial"/>
          <w:sz w:val="20"/>
          <w:szCs w:val="20"/>
        </w:rPr>
        <w:endnoteReference w:id="103"/>
      </w:r>
      <w:r w:rsidRPr="0049306A">
        <w:rPr>
          <w:rFonts w:cs="Arial"/>
          <w:sz w:val="20"/>
          <w:szCs w:val="20"/>
        </w:rPr>
        <w:t xml:space="preserve">. Sin embargo, un estudio con 23.504 pacientes con DM tipo 2 y 1.372 con DM tipo 1 no mostró ninguna correlación entre los niveles de HbA1c y la supervivencia a 12 meses de seguimiento </w:t>
      </w:r>
      <w:r w:rsidRPr="0049306A">
        <w:rPr>
          <w:rStyle w:val="Refdenotaalfinal"/>
          <w:rFonts w:cs="Arial"/>
          <w:sz w:val="20"/>
          <w:szCs w:val="20"/>
        </w:rPr>
        <w:endnoteReference w:id="104"/>
      </w:r>
      <w:r w:rsidRPr="0049306A">
        <w:rPr>
          <w:rFonts w:cs="Arial"/>
          <w:sz w:val="20"/>
          <w:szCs w:val="20"/>
        </w:rPr>
        <w:t>.</w:t>
      </w:r>
    </w:p>
    <w:p w:rsidR="00E81B3D" w:rsidRPr="0049306A" w:rsidRDefault="00E81B3D" w:rsidP="00495DAB">
      <w:pPr>
        <w:spacing w:before="120" w:after="120"/>
        <w:ind w:left="1701"/>
        <w:rPr>
          <w:rFonts w:cs="Arial"/>
          <w:sz w:val="20"/>
          <w:szCs w:val="20"/>
        </w:rPr>
      </w:pPr>
      <w:r w:rsidRPr="0049306A">
        <w:rPr>
          <w:rFonts w:cs="Arial"/>
          <w:sz w:val="20"/>
          <w:szCs w:val="20"/>
        </w:rPr>
        <w:t>Hay que tener en cuenta que el riesgo que presenta la hipoglucemia severa en pacientes con ERC en tratamiento intensivo es muy alto y está favorecido por cambios en la ingesta, debidos a anorexia, y cambios en los horarios de comidas por la diálisis. Además, la ausencia de síntomas adrenérgicos por neuropatía autonómica, que alertan al paciente en las primeras fases de la hipoglucemia, dificultan su tratamiento precoz.</w:t>
      </w:r>
    </w:p>
    <w:p w:rsidR="00E81B3D" w:rsidRDefault="00E81B3D" w:rsidP="0099669D">
      <w:pPr>
        <w:pStyle w:val="Ttulo3"/>
        <w:ind w:left="2268" w:hanging="567"/>
        <w:rPr>
          <w:rFonts w:ascii="Arial" w:hAnsi="Arial" w:cs="Arial"/>
          <w:sz w:val="20"/>
          <w:szCs w:val="20"/>
        </w:rPr>
      </w:pPr>
      <w:r w:rsidRPr="00EA1C9A">
        <w:rPr>
          <w:rFonts w:ascii="Arial" w:hAnsi="Arial" w:cs="Arial"/>
          <w:sz w:val="20"/>
          <w:szCs w:val="20"/>
        </w:rPr>
        <w:t>Antidiabéticos orales</w:t>
      </w:r>
    </w:p>
    <w:p w:rsidR="00E81B3D" w:rsidRDefault="00E81B3D" w:rsidP="0099669D">
      <w:pPr>
        <w:ind w:left="1701"/>
        <w:rPr>
          <w:b/>
          <w:bCs/>
          <w:sz w:val="20"/>
          <w:szCs w:val="20"/>
        </w:rPr>
      </w:pPr>
      <w:r w:rsidRPr="00284C4F">
        <w:rPr>
          <w:sz w:val="20"/>
          <w:szCs w:val="20"/>
        </w:rPr>
        <w:t xml:space="preserve">La creciente disponibilidad de </w:t>
      </w:r>
      <w:r>
        <w:rPr>
          <w:sz w:val="20"/>
          <w:szCs w:val="20"/>
        </w:rPr>
        <w:t xml:space="preserve">fármacos antidiabéticos, con distintas indicaciones y requerimientos de ajustes de dosis en función del grado de ERC, obliga a una revisión exhaustiva de los diferentes grupos farmacológicos. </w:t>
      </w:r>
      <w:r w:rsidRPr="006807B1">
        <w:rPr>
          <w:sz w:val="20"/>
          <w:szCs w:val="20"/>
        </w:rPr>
        <w:t xml:space="preserve"> </w:t>
      </w:r>
    </w:p>
    <w:p w:rsidR="00E81B3D" w:rsidRPr="00DA3051" w:rsidRDefault="00E81B3D" w:rsidP="00437684">
      <w:pPr>
        <w:spacing w:before="120" w:after="120"/>
        <w:ind w:left="1701"/>
        <w:rPr>
          <w:rFonts w:cs="Arial"/>
          <w:b/>
          <w:sz w:val="20"/>
          <w:szCs w:val="20"/>
        </w:rPr>
      </w:pPr>
      <w:r w:rsidRPr="00437684">
        <w:rPr>
          <w:rFonts w:cs="Arial"/>
          <w:b/>
          <w:sz w:val="20"/>
          <w:szCs w:val="20"/>
        </w:rPr>
        <w:t>Secretagogos</w:t>
      </w:r>
    </w:p>
    <w:p w:rsidR="00E81B3D" w:rsidRPr="0049306A" w:rsidRDefault="00E81B3D" w:rsidP="003C3D97">
      <w:pPr>
        <w:spacing w:before="120" w:after="120"/>
        <w:ind w:left="1701"/>
        <w:rPr>
          <w:rFonts w:cs="Arial"/>
          <w:sz w:val="20"/>
          <w:szCs w:val="20"/>
        </w:rPr>
      </w:pPr>
      <w:r w:rsidRPr="0049306A">
        <w:rPr>
          <w:rFonts w:cs="Arial"/>
          <w:sz w:val="20"/>
          <w:szCs w:val="20"/>
        </w:rPr>
        <w:t xml:space="preserve">Las sulfonilureas (SU) no son el fármaco de primera elección en la ERC, su administración en estos pacientes precisa una valoración muy precisa de la dosis y de la vía de eliminación </w:t>
      </w:r>
      <w:bookmarkStart w:id="50" w:name="_Ref343110967"/>
      <w:r w:rsidRPr="0049306A">
        <w:rPr>
          <w:rStyle w:val="Refdenotaalfinal"/>
          <w:rFonts w:cs="Arial"/>
          <w:sz w:val="20"/>
          <w:szCs w:val="20"/>
        </w:rPr>
        <w:endnoteReference w:id="105"/>
      </w:r>
      <w:bookmarkEnd w:id="50"/>
      <w:r w:rsidRPr="0049306A">
        <w:rPr>
          <w:rFonts w:cs="Arial"/>
          <w:sz w:val="20"/>
          <w:szCs w:val="20"/>
        </w:rPr>
        <w:t xml:space="preserve"> </w:t>
      </w:r>
      <w:r w:rsidRPr="0049306A">
        <w:rPr>
          <w:rStyle w:val="Refdenotaalfinal"/>
          <w:rFonts w:cs="Arial"/>
          <w:sz w:val="20"/>
          <w:szCs w:val="20"/>
        </w:rPr>
        <w:endnoteReference w:id="106"/>
      </w:r>
      <w:r w:rsidRPr="0049306A">
        <w:rPr>
          <w:rFonts w:cs="Arial"/>
          <w:sz w:val="20"/>
          <w:szCs w:val="20"/>
        </w:rPr>
        <w:t>.</w:t>
      </w:r>
    </w:p>
    <w:p w:rsidR="00E81B3D" w:rsidRPr="0049306A" w:rsidRDefault="00E81B3D" w:rsidP="003C3D97">
      <w:pPr>
        <w:spacing w:before="120" w:after="120"/>
        <w:ind w:left="1701"/>
        <w:rPr>
          <w:rFonts w:cs="Arial"/>
          <w:sz w:val="20"/>
          <w:szCs w:val="20"/>
        </w:rPr>
      </w:pPr>
      <w:r w:rsidRPr="0049306A">
        <w:rPr>
          <w:rFonts w:cs="Arial"/>
          <w:sz w:val="20"/>
          <w:szCs w:val="20"/>
        </w:rPr>
        <w:t xml:space="preserve">Las SU se ligan a proteínas plasmáticas especialmente albúmina, por lo que en caso de necesidad no se pueden eliminar mediante hemodiálisis. Además, los betabloqueantes, la warfarina y los salicilatos pueden desplazar a las SU de su unión con la albúmina produciendo un aumento brusco de los niveles del fármaco libre con la hipoglucemia consiguiente. </w:t>
      </w:r>
    </w:p>
    <w:p w:rsidR="00E81B3D" w:rsidRPr="0049306A" w:rsidRDefault="00E81B3D" w:rsidP="00705C12">
      <w:pPr>
        <w:spacing w:before="120" w:after="120"/>
        <w:ind w:left="1701"/>
        <w:rPr>
          <w:rFonts w:cs="Arial"/>
          <w:sz w:val="20"/>
          <w:szCs w:val="20"/>
        </w:rPr>
      </w:pPr>
      <w:r w:rsidRPr="0049306A">
        <w:rPr>
          <w:rFonts w:cs="Arial"/>
          <w:sz w:val="20"/>
          <w:szCs w:val="20"/>
        </w:rPr>
        <w:t>Las SU más utilizadas, glibenclamida, glimepirida y gliclazida, son metabolizadas en el hígado a metabolitos mas débiles pero de eliminación urinaria, por lo que su uso incluso en dosis bajas no es aconsejable en pacientes con ERC, y totalmente contraindicado en pacientes con</w:t>
      </w:r>
      <w:r>
        <w:rPr>
          <w:rFonts w:cs="Arial"/>
          <w:sz w:val="20"/>
          <w:szCs w:val="20"/>
        </w:rPr>
        <w:t xml:space="preserve"> </w:t>
      </w:r>
      <w:r w:rsidRPr="00705C12">
        <w:rPr>
          <w:rFonts w:cs="Arial"/>
          <w:sz w:val="20"/>
          <w:szCs w:val="20"/>
        </w:rPr>
        <w:t>FG &lt; 60 ml/min/1.73m</w:t>
      </w:r>
      <w:r w:rsidRPr="00705C12">
        <w:rPr>
          <w:rFonts w:cs="Arial"/>
          <w:sz w:val="20"/>
          <w:szCs w:val="20"/>
          <w:vertAlign w:val="superscript"/>
        </w:rPr>
        <w:t>2</w:t>
      </w:r>
    </w:p>
    <w:p w:rsidR="00E81B3D" w:rsidRPr="0049306A" w:rsidRDefault="00E81B3D" w:rsidP="00D27AE3">
      <w:pPr>
        <w:spacing w:before="120" w:after="120"/>
        <w:ind w:left="1701"/>
        <w:rPr>
          <w:rFonts w:cs="Arial"/>
          <w:sz w:val="20"/>
          <w:szCs w:val="20"/>
        </w:rPr>
      </w:pPr>
      <w:r w:rsidRPr="0049306A">
        <w:rPr>
          <w:rFonts w:cs="Arial"/>
          <w:sz w:val="20"/>
          <w:szCs w:val="20"/>
        </w:rPr>
        <w:t xml:space="preserve">La glipizida es metabolizada en el hígado y excretada por la orina en forma de metabolitos inactivos. En consecuencia, sería la única SU que se puede dar en dosis bajas si el FG está por encima de 50 </w:t>
      </w:r>
      <w:r w:rsidRPr="0049306A">
        <w:rPr>
          <w:sz w:val="20"/>
          <w:szCs w:val="20"/>
        </w:rPr>
        <w:t>ml/min/1,73 m</w:t>
      </w:r>
      <w:r w:rsidRPr="0049306A">
        <w:rPr>
          <w:sz w:val="20"/>
          <w:szCs w:val="20"/>
          <w:vertAlign w:val="superscript"/>
        </w:rPr>
        <w:t>2</w:t>
      </w:r>
      <w:r w:rsidRPr="0049306A">
        <w:rPr>
          <w:rFonts w:cs="Arial"/>
          <w:sz w:val="20"/>
          <w:szCs w:val="20"/>
        </w:rPr>
        <w:t xml:space="preserve">, pero su uso no está permitido con FG más bajos (&lt; 30 </w:t>
      </w:r>
      <w:r w:rsidRPr="0049306A">
        <w:rPr>
          <w:sz w:val="20"/>
          <w:szCs w:val="20"/>
        </w:rPr>
        <w:t>ml/min/1,73 m</w:t>
      </w:r>
      <w:r w:rsidRPr="0049306A">
        <w:rPr>
          <w:sz w:val="20"/>
          <w:szCs w:val="20"/>
          <w:vertAlign w:val="superscript"/>
        </w:rPr>
        <w:t>2</w:t>
      </w:r>
      <w:r w:rsidRPr="0049306A">
        <w:rPr>
          <w:rFonts w:cs="Arial"/>
          <w:sz w:val="20"/>
          <w:szCs w:val="20"/>
        </w:rPr>
        <w:t xml:space="preserve">). </w:t>
      </w:r>
    </w:p>
    <w:p w:rsidR="00E81B3D" w:rsidRPr="0049306A" w:rsidRDefault="00E81B3D" w:rsidP="00D27AE3">
      <w:pPr>
        <w:spacing w:before="120" w:after="120"/>
        <w:ind w:left="1701"/>
        <w:rPr>
          <w:rFonts w:cs="Arial"/>
          <w:sz w:val="20"/>
          <w:szCs w:val="20"/>
        </w:rPr>
      </w:pPr>
      <w:r w:rsidRPr="0049306A">
        <w:rPr>
          <w:rFonts w:cs="Arial"/>
          <w:sz w:val="20"/>
          <w:szCs w:val="20"/>
        </w:rPr>
        <w:t>Al contrario que las SU, la repaglinida tiene un metabolismo hepático con menos de un 10% de eliminación renal, a pesar de esto cuando se instaure su tratamiento se debe iniciar con una dosi</w:t>
      </w:r>
      <w:r w:rsidR="00845556">
        <w:rPr>
          <w:rFonts w:cs="Arial"/>
          <w:sz w:val="20"/>
          <w:szCs w:val="20"/>
        </w:rPr>
        <w:t xml:space="preserve">s baja (0,5 mg) </w:t>
      </w:r>
      <w:r w:rsidRPr="0049306A">
        <w:rPr>
          <w:rFonts w:cs="Arial"/>
          <w:sz w:val="20"/>
          <w:szCs w:val="20"/>
        </w:rPr>
        <w:t xml:space="preserve">si </w:t>
      </w:r>
      <w:r>
        <w:rPr>
          <w:rFonts w:cs="Arial"/>
          <w:sz w:val="20"/>
          <w:szCs w:val="20"/>
        </w:rPr>
        <w:t>el FG</w:t>
      </w:r>
      <w:r w:rsidRPr="0049306A">
        <w:rPr>
          <w:rFonts w:cs="Arial"/>
          <w:sz w:val="20"/>
          <w:szCs w:val="20"/>
        </w:rPr>
        <w:t xml:space="preserve">&lt; 30 </w:t>
      </w:r>
      <w:r w:rsidRPr="0049306A">
        <w:rPr>
          <w:sz w:val="20"/>
          <w:szCs w:val="20"/>
        </w:rPr>
        <w:t>ml/min/1,73 m</w:t>
      </w:r>
      <w:r w:rsidRPr="0049306A">
        <w:rPr>
          <w:sz w:val="20"/>
          <w:szCs w:val="20"/>
          <w:vertAlign w:val="superscript"/>
        </w:rPr>
        <w:t>2</w:t>
      </w:r>
      <w:r w:rsidRPr="0049306A">
        <w:rPr>
          <w:sz w:val="20"/>
          <w:szCs w:val="20"/>
        </w:rPr>
        <w:t>.</w:t>
      </w:r>
      <w:r w:rsidR="00845556">
        <w:rPr>
          <w:sz w:val="20"/>
          <w:szCs w:val="20"/>
        </w:rPr>
        <w:t xml:space="preserve"> </w:t>
      </w:r>
      <w:r w:rsidR="00845556" w:rsidRPr="00845556">
        <w:rPr>
          <w:sz w:val="20"/>
          <w:szCs w:val="20"/>
        </w:rPr>
        <w:t>Puede utilizarse en estadio 5.</w:t>
      </w:r>
    </w:p>
    <w:p w:rsidR="00E81B3D" w:rsidRPr="00437684" w:rsidRDefault="00E81B3D" w:rsidP="003C3D97">
      <w:pPr>
        <w:spacing w:before="120" w:after="120"/>
        <w:ind w:left="1701"/>
        <w:rPr>
          <w:rFonts w:cs="Arial"/>
          <w:b/>
          <w:sz w:val="20"/>
          <w:szCs w:val="20"/>
        </w:rPr>
      </w:pPr>
      <w:r w:rsidRPr="00437684">
        <w:rPr>
          <w:rFonts w:cs="Arial"/>
          <w:b/>
          <w:sz w:val="20"/>
          <w:szCs w:val="20"/>
        </w:rPr>
        <w:t>Metformina</w:t>
      </w:r>
    </w:p>
    <w:p w:rsidR="00E81B3D" w:rsidRPr="00437684" w:rsidRDefault="00E81B3D" w:rsidP="003C3D97">
      <w:pPr>
        <w:spacing w:before="120" w:after="120"/>
        <w:ind w:left="1701"/>
        <w:rPr>
          <w:rFonts w:cs="Arial"/>
          <w:sz w:val="20"/>
          <w:szCs w:val="20"/>
        </w:rPr>
      </w:pPr>
      <w:r w:rsidRPr="00437684">
        <w:rPr>
          <w:rFonts w:cs="Arial"/>
          <w:sz w:val="20"/>
          <w:szCs w:val="20"/>
        </w:rPr>
        <w:t>La metformina se elimina principalmente por la orina sin metabolizarse, por eso los pacientes con deterioro de la función renal son más susceptibles a su acumulación y a la acidosis láctica</w:t>
      </w:r>
      <w:r>
        <w:rPr>
          <w:rFonts w:cs="Arial"/>
          <w:sz w:val="20"/>
          <w:szCs w:val="20"/>
        </w:rPr>
        <w:t>.</w:t>
      </w:r>
    </w:p>
    <w:p w:rsidR="00E81B3D" w:rsidRPr="00437684" w:rsidRDefault="00E81B3D" w:rsidP="003C3D97">
      <w:pPr>
        <w:spacing w:before="120" w:after="120"/>
        <w:ind w:left="1701"/>
        <w:rPr>
          <w:rFonts w:cs="Arial"/>
          <w:sz w:val="20"/>
          <w:szCs w:val="20"/>
        </w:rPr>
      </w:pPr>
      <w:r w:rsidRPr="00437684">
        <w:rPr>
          <w:rFonts w:cs="Arial"/>
          <w:sz w:val="20"/>
          <w:szCs w:val="20"/>
        </w:rPr>
        <w:t xml:space="preserve">Dado que la metformina se excreta por el riñón, los niveles de creatinina sérica deberían determinarse antes de iniciar el tratamiento y posteriormente de forma periódica. </w:t>
      </w:r>
      <w:r w:rsidRPr="002B790E">
        <w:rPr>
          <w:rFonts w:cs="Arial"/>
          <w:sz w:val="20"/>
          <w:szCs w:val="20"/>
        </w:rPr>
        <w:t xml:space="preserve">Según </w:t>
      </w:r>
      <w:r>
        <w:rPr>
          <w:rFonts w:cs="Arial"/>
          <w:sz w:val="20"/>
          <w:szCs w:val="20"/>
        </w:rPr>
        <w:t xml:space="preserve">la ficha técnica del fármaco, en pacientes </w:t>
      </w:r>
      <w:r w:rsidRPr="002B790E">
        <w:rPr>
          <w:rFonts w:cs="Arial"/>
          <w:sz w:val="20"/>
          <w:szCs w:val="20"/>
        </w:rPr>
        <w:t xml:space="preserve">con FG </w:t>
      </w:r>
      <w:r w:rsidRPr="002B790E">
        <w:rPr>
          <w:rFonts w:cs="Arial"/>
          <w:sz w:val="20"/>
          <w:szCs w:val="20"/>
        </w:rPr>
        <w:sym w:font="Symbol" w:char="F0B3"/>
      </w:r>
      <w:r>
        <w:rPr>
          <w:rFonts w:cs="Arial"/>
          <w:sz w:val="20"/>
          <w:szCs w:val="20"/>
        </w:rPr>
        <w:t>60 ml/min/1.73m</w:t>
      </w:r>
      <w:r w:rsidRPr="005B3F59">
        <w:rPr>
          <w:rFonts w:cs="Arial"/>
          <w:sz w:val="20"/>
          <w:szCs w:val="20"/>
          <w:vertAlign w:val="superscript"/>
        </w:rPr>
        <w:t>2</w:t>
      </w:r>
      <w:r w:rsidRPr="002B790E">
        <w:rPr>
          <w:rFonts w:cs="Arial"/>
          <w:sz w:val="20"/>
          <w:szCs w:val="20"/>
        </w:rPr>
        <w:t xml:space="preserve"> no hay contraindicación para el uso de metformina y se aconseja monitorizar la función renal anualmente. </w:t>
      </w:r>
      <w:r>
        <w:rPr>
          <w:rFonts w:cs="Arial"/>
          <w:sz w:val="20"/>
          <w:szCs w:val="20"/>
        </w:rPr>
        <w:t>No obstante, la experiencia en la utilización de metformina en pacientes con ERC ha aumentado progresivamente. De hecho, e</w:t>
      </w:r>
      <w:r w:rsidRPr="002B790E">
        <w:rPr>
          <w:rFonts w:cs="Arial"/>
          <w:sz w:val="20"/>
          <w:szCs w:val="20"/>
        </w:rPr>
        <w:t>n pacientes con F</w:t>
      </w:r>
      <w:r>
        <w:rPr>
          <w:rFonts w:cs="Arial"/>
          <w:sz w:val="20"/>
          <w:szCs w:val="20"/>
        </w:rPr>
        <w:t>G en entre 45 y 60 ml/min/1.73m</w:t>
      </w:r>
      <w:r w:rsidRPr="005B3F59">
        <w:rPr>
          <w:rFonts w:cs="Arial"/>
          <w:sz w:val="20"/>
          <w:szCs w:val="20"/>
          <w:vertAlign w:val="superscript"/>
        </w:rPr>
        <w:t>2</w:t>
      </w:r>
      <w:r w:rsidRPr="002B790E">
        <w:rPr>
          <w:rFonts w:cs="Arial"/>
          <w:sz w:val="20"/>
          <w:szCs w:val="20"/>
        </w:rPr>
        <w:t>, se aconseja monitorizar la función renal cada 3-6 meses. En presencia de u</w:t>
      </w:r>
      <w:r>
        <w:rPr>
          <w:rFonts w:cs="Arial"/>
          <w:sz w:val="20"/>
          <w:szCs w:val="20"/>
        </w:rPr>
        <w:t>n FG entre 30 y 45 ml/min/1.73m</w:t>
      </w:r>
      <w:r w:rsidRPr="005B3F59">
        <w:rPr>
          <w:rFonts w:cs="Arial"/>
          <w:sz w:val="20"/>
          <w:szCs w:val="20"/>
          <w:vertAlign w:val="superscript"/>
        </w:rPr>
        <w:t>2</w:t>
      </w:r>
      <w:r w:rsidRPr="002B790E">
        <w:rPr>
          <w:rFonts w:cs="Arial"/>
          <w:sz w:val="20"/>
          <w:szCs w:val="20"/>
        </w:rPr>
        <w:t>, se aconseja una reducción de la dosis de metformina del 50%, monitorizar la función renal cada 3 meses y no iniciar nuevos tratamientos. Con u</w:t>
      </w:r>
      <w:r>
        <w:rPr>
          <w:rFonts w:cs="Arial"/>
          <w:sz w:val="20"/>
          <w:szCs w:val="20"/>
        </w:rPr>
        <w:t>n FG inferior a 30 ml/min/1.73m</w:t>
      </w:r>
      <w:r w:rsidRPr="005B3F59">
        <w:rPr>
          <w:rFonts w:cs="Arial"/>
          <w:sz w:val="20"/>
          <w:szCs w:val="20"/>
          <w:vertAlign w:val="superscript"/>
        </w:rPr>
        <w:t>2</w:t>
      </w:r>
      <w:r w:rsidRPr="002B790E">
        <w:rPr>
          <w:rFonts w:cs="Arial"/>
          <w:sz w:val="20"/>
          <w:szCs w:val="20"/>
        </w:rPr>
        <w:t xml:space="preserve"> la met</w:t>
      </w:r>
      <w:r>
        <w:rPr>
          <w:rFonts w:cs="Arial"/>
          <w:sz w:val="20"/>
          <w:szCs w:val="20"/>
        </w:rPr>
        <w:t>formina no debe utilizarse</w:t>
      </w:r>
      <w:r>
        <w:rPr>
          <w:rStyle w:val="Refdenotaalfinal"/>
          <w:sz w:val="20"/>
          <w:szCs w:val="20"/>
        </w:rPr>
        <w:endnoteReference w:id="107"/>
      </w:r>
      <w:r w:rsidRPr="002B790E">
        <w:rPr>
          <w:rFonts w:cs="Arial"/>
          <w:sz w:val="20"/>
          <w:szCs w:val="20"/>
        </w:rPr>
        <w:t>.</w:t>
      </w:r>
    </w:p>
    <w:p w:rsidR="00E81B3D" w:rsidRDefault="00E81B3D" w:rsidP="007908A6">
      <w:pPr>
        <w:spacing w:before="120" w:after="120"/>
        <w:ind w:left="1701"/>
        <w:rPr>
          <w:rFonts w:cs="Arial"/>
          <w:sz w:val="20"/>
          <w:szCs w:val="20"/>
        </w:rPr>
      </w:pPr>
      <w:r w:rsidRPr="00437684">
        <w:rPr>
          <w:rFonts w:cs="Arial"/>
          <w:sz w:val="20"/>
          <w:szCs w:val="20"/>
        </w:rPr>
        <w:t>Debe tenerse precaución especial en situaciones en las que puede alterarse la función renal, por ejemplo cuando se inicia un, tratamiento antihipertensivo con diurético, cuando se inicia un tratamiento con AINES, o cuando existe riesgo de deshidratación situación más probable en personas con deterioro cognitivo.</w:t>
      </w:r>
    </w:p>
    <w:p w:rsidR="00651852" w:rsidRDefault="00651852" w:rsidP="007908A6">
      <w:pPr>
        <w:spacing w:before="120" w:after="120"/>
        <w:ind w:left="1701"/>
        <w:rPr>
          <w:rFonts w:cs="Arial"/>
          <w:sz w:val="20"/>
          <w:szCs w:val="20"/>
        </w:rPr>
      </w:pPr>
    </w:p>
    <w:p w:rsidR="00651852" w:rsidRDefault="00651852" w:rsidP="007908A6">
      <w:pPr>
        <w:spacing w:before="120" w:after="120"/>
        <w:ind w:left="1701"/>
        <w:rPr>
          <w:rFonts w:cs="Arial"/>
          <w:sz w:val="20"/>
          <w:szCs w:val="20"/>
        </w:rPr>
      </w:pPr>
    </w:p>
    <w:p w:rsidR="00651852" w:rsidRPr="007908A6" w:rsidRDefault="00651852" w:rsidP="007908A6">
      <w:pPr>
        <w:spacing w:before="120" w:after="120"/>
        <w:ind w:left="1701"/>
        <w:rPr>
          <w:rFonts w:cs="Arial"/>
          <w:sz w:val="20"/>
          <w:szCs w:val="20"/>
        </w:rPr>
      </w:pPr>
    </w:p>
    <w:p w:rsidR="00E81B3D" w:rsidRPr="00437684" w:rsidRDefault="00E81B3D" w:rsidP="003C3D97">
      <w:pPr>
        <w:spacing w:before="120" w:after="120"/>
        <w:ind w:left="1701"/>
        <w:rPr>
          <w:rFonts w:cs="Arial"/>
          <w:b/>
          <w:sz w:val="20"/>
          <w:szCs w:val="20"/>
        </w:rPr>
      </w:pPr>
      <w:r w:rsidRPr="00437684">
        <w:rPr>
          <w:rFonts w:cs="Arial"/>
          <w:b/>
          <w:sz w:val="20"/>
          <w:szCs w:val="20"/>
        </w:rPr>
        <w:lastRenderedPageBreak/>
        <w:t>Glitazonas</w:t>
      </w:r>
    </w:p>
    <w:p w:rsidR="00E81B3D" w:rsidRPr="00437684" w:rsidRDefault="00E81B3D" w:rsidP="003C3D97">
      <w:pPr>
        <w:spacing w:before="120" w:after="120"/>
        <w:ind w:left="1701"/>
        <w:rPr>
          <w:rFonts w:cs="Arial"/>
          <w:sz w:val="20"/>
          <w:szCs w:val="20"/>
        </w:rPr>
      </w:pPr>
      <w:r w:rsidRPr="00437684">
        <w:rPr>
          <w:rFonts w:cs="Arial"/>
          <w:sz w:val="20"/>
          <w:szCs w:val="20"/>
        </w:rPr>
        <w:t>Las glitazonas t</w:t>
      </w:r>
      <w:r>
        <w:rPr>
          <w:rFonts w:cs="Arial"/>
          <w:sz w:val="20"/>
          <w:szCs w:val="20"/>
        </w:rPr>
        <w:t xml:space="preserve">ienen un metabolismo hepático, </w:t>
      </w:r>
      <w:r w:rsidRPr="00437684">
        <w:rPr>
          <w:rFonts w:cs="Arial"/>
          <w:sz w:val="20"/>
          <w:szCs w:val="20"/>
        </w:rPr>
        <w:t>excretándose menos del</w:t>
      </w:r>
      <w:r>
        <w:rPr>
          <w:rFonts w:cs="Arial"/>
          <w:sz w:val="20"/>
          <w:szCs w:val="20"/>
        </w:rPr>
        <w:t xml:space="preserve"> </w:t>
      </w:r>
      <w:r w:rsidRPr="00437684">
        <w:rPr>
          <w:rFonts w:cs="Arial"/>
          <w:sz w:val="20"/>
          <w:szCs w:val="20"/>
        </w:rPr>
        <w:t>2%</w:t>
      </w:r>
      <w:r>
        <w:rPr>
          <w:rFonts w:cs="Arial"/>
          <w:sz w:val="20"/>
          <w:szCs w:val="20"/>
        </w:rPr>
        <w:t xml:space="preserve"> </w:t>
      </w:r>
      <w:r w:rsidRPr="00437684">
        <w:rPr>
          <w:rFonts w:cs="Arial"/>
          <w:sz w:val="20"/>
          <w:szCs w:val="20"/>
        </w:rPr>
        <w:t>por la orina, en consecuencia no hay acumulación metabolitos activos en la</w:t>
      </w:r>
      <w:r>
        <w:rPr>
          <w:rFonts w:cs="Arial"/>
          <w:sz w:val="20"/>
          <w:szCs w:val="20"/>
        </w:rPr>
        <w:t xml:space="preserve"> ERC</w:t>
      </w:r>
      <w:r w:rsidRPr="00437684">
        <w:rPr>
          <w:rFonts w:cs="Arial"/>
          <w:sz w:val="20"/>
          <w:szCs w:val="20"/>
        </w:rPr>
        <w:t xml:space="preserve"> y la farmacocinética de la pioglitazona no se ve</w:t>
      </w:r>
      <w:r>
        <w:rPr>
          <w:rFonts w:cs="Arial"/>
          <w:sz w:val="20"/>
          <w:szCs w:val="20"/>
        </w:rPr>
        <w:t xml:space="preserve"> afectada por la hemodiálisis.</w:t>
      </w:r>
    </w:p>
    <w:p w:rsidR="00E81B3D" w:rsidRDefault="00E81B3D" w:rsidP="00D27AE3">
      <w:pPr>
        <w:spacing w:before="120" w:after="120"/>
        <w:ind w:left="1701"/>
        <w:rPr>
          <w:rFonts w:cs="Arial"/>
          <w:sz w:val="20"/>
          <w:szCs w:val="20"/>
        </w:rPr>
      </w:pPr>
      <w:r w:rsidRPr="00437684">
        <w:rPr>
          <w:rFonts w:cs="Arial"/>
          <w:sz w:val="20"/>
          <w:szCs w:val="20"/>
        </w:rPr>
        <w:t>Sin embargo</w:t>
      </w:r>
      <w:r>
        <w:rPr>
          <w:rFonts w:cs="Arial"/>
          <w:sz w:val="20"/>
          <w:szCs w:val="20"/>
        </w:rPr>
        <w:t>,</w:t>
      </w:r>
      <w:r w:rsidRPr="00437684">
        <w:rPr>
          <w:rFonts w:cs="Arial"/>
          <w:sz w:val="20"/>
          <w:szCs w:val="20"/>
        </w:rPr>
        <w:t xml:space="preserve"> dado que su uso aumenta el riesgo de edema, insuficiencia cardiaca especialmente entre los pacientes tratados con insulina</w:t>
      </w:r>
      <w:r>
        <w:rPr>
          <w:rFonts w:cs="Arial"/>
          <w:sz w:val="20"/>
          <w:szCs w:val="20"/>
        </w:rPr>
        <w:t xml:space="preserve"> </w:t>
      </w:r>
      <w:r w:rsidRPr="00437684">
        <w:rPr>
          <w:rFonts w:cs="Arial"/>
          <w:sz w:val="20"/>
          <w:szCs w:val="20"/>
        </w:rPr>
        <w:t>y de osteoporosi</w:t>
      </w:r>
      <w:r>
        <w:rPr>
          <w:rFonts w:cs="Arial"/>
          <w:sz w:val="20"/>
          <w:szCs w:val="20"/>
        </w:rPr>
        <w:t xml:space="preserve">s, en mujeres </w:t>
      </w:r>
      <w:r w:rsidRPr="0049306A">
        <w:rPr>
          <w:rFonts w:cs="Arial"/>
          <w:sz w:val="20"/>
          <w:szCs w:val="20"/>
        </w:rPr>
        <w:t xml:space="preserve">postmenopáusicas, su uso es limitado en estos pacientes y contraindicado en pacientes con FG &lt;30 </w:t>
      </w:r>
      <w:r w:rsidRPr="0049306A">
        <w:rPr>
          <w:sz w:val="20"/>
          <w:szCs w:val="20"/>
        </w:rPr>
        <w:t>ml/min/1,73m</w:t>
      </w:r>
      <w:r w:rsidRPr="0049306A">
        <w:rPr>
          <w:sz w:val="20"/>
          <w:szCs w:val="20"/>
          <w:vertAlign w:val="superscript"/>
        </w:rPr>
        <w:t>2</w:t>
      </w:r>
      <w:r w:rsidRPr="0049306A">
        <w:rPr>
          <w:rFonts w:cs="Arial"/>
          <w:sz w:val="20"/>
          <w:szCs w:val="20"/>
        </w:rPr>
        <w:t>.</w:t>
      </w:r>
    </w:p>
    <w:p w:rsidR="00E81B3D" w:rsidRPr="00437684" w:rsidRDefault="00E81B3D" w:rsidP="003C3D97">
      <w:pPr>
        <w:spacing w:before="120" w:after="120"/>
        <w:ind w:left="1701"/>
        <w:rPr>
          <w:rFonts w:cs="Arial"/>
          <w:b/>
          <w:sz w:val="20"/>
          <w:szCs w:val="20"/>
        </w:rPr>
      </w:pPr>
      <w:r w:rsidRPr="00437684">
        <w:rPr>
          <w:rFonts w:cs="Arial"/>
          <w:b/>
          <w:sz w:val="20"/>
          <w:szCs w:val="20"/>
        </w:rPr>
        <w:t>Inhibidores de α-glucosidasa</w:t>
      </w:r>
    </w:p>
    <w:p w:rsidR="00E81B3D" w:rsidRPr="00437684" w:rsidRDefault="00E81B3D" w:rsidP="003C3D97">
      <w:pPr>
        <w:spacing w:before="120" w:after="120"/>
        <w:ind w:left="1701"/>
        <w:rPr>
          <w:rFonts w:cs="Arial"/>
          <w:sz w:val="20"/>
          <w:szCs w:val="20"/>
        </w:rPr>
      </w:pPr>
      <w:r>
        <w:rPr>
          <w:rFonts w:cs="Arial"/>
          <w:sz w:val="20"/>
          <w:szCs w:val="20"/>
        </w:rPr>
        <w:t xml:space="preserve">Tanto la </w:t>
      </w:r>
      <w:r w:rsidRPr="00437684">
        <w:rPr>
          <w:rFonts w:cs="Arial"/>
          <w:sz w:val="20"/>
          <w:szCs w:val="20"/>
        </w:rPr>
        <w:t>acarbosa como el miglitol como s</w:t>
      </w:r>
      <w:r>
        <w:rPr>
          <w:rFonts w:cs="Arial"/>
          <w:sz w:val="20"/>
          <w:szCs w:val="20"/>
        </w:rPr>
        <w:t>us metabolitos se acumulan en la ERC,</w:t>
      </w:r>
      <w:r w:rsidRPr="00437684">
        <w:rPr>
          <w:rFonts w:cs="Arial"/>
          <w:sz w:val="20"/>
          <w:szCs w:val="20"/>
        </w:rPr>
        <w:t xml:space="preserve"> por lo que aunque no se ha documentado que aumenten el</w:t>
      </w:r>
      <w:r>
        <w:rPr>
          <w:rFonts w:cs="Arial"/>
          <w:sz w:val="20"/>
          <w:szCs w:val="20"/>
        </w:rPr>
        <w:t xml:space="preserve"> </w:t>
      </w:r>
      <w:r w:rsidRPr="00437684">
        <w:rPr>
          <w:rFonts w:cs="Arial"/>
          <w:sz w:val="20"/>
          <w:szCs w:val="20"/>
        </w:rPr>
        <w:t>riesgo de hipoglucemia s</w:t>
      </w:r>
      <w:r>
        <w:rPr>
          <w:rFonts w:cs="Arial"/>
          <w:sz w:val="20"/>
          <w:szCs w:val="20"/>
        </w:rPr>
        <w:t>u uso no está recomendado</w:t>
      </w:r>
      <w:fldSimple w:instr=" NOTEREF _Ref343110967 \h  \* MERGEFORMAT ">
        <w:r w:rsidR="00852CBE" w:rsidRPr="00852CBE">
          <w:rPr>
            <w:rFonts w:cs="Arial"/>
            <w:sz w:val="20"/>
            <w:szCs w:val="20"/>
            <w:vertAlign w:val="superscript"/>
          </w:rPr>
          <w:t>104</w:t>
        </w:r>
      </w:fldSimple>
      <w:r w:rsidRPr="00437684">
        <w:rPr>
          <w:rFonts w:cs="Arial"/>
          <w:sz w:val="20"/>
          <w:szCs w:val="20"/>
        </w:rPr>
        <w:t>.</w:t>
      </w:r>
    </w:p>
    <w:p w:rsidR="00E81B3D" w:rsidRPr="00437684" w:rsidRDefault="00E81B3D" w:rsidP="003C3D97">
      <w:pPr>
        <w:spacing w:before="120" w:after="120"/>
        <w:ind w:left="1701"/>
        <w:rPr>
          <w:rFonts w:cs="Arial"/>
          <w:b/>
          <w:sz w:val="20"/>
          <w:szCs w:val="20"/>
        </w:rPr>
      </w:pPr>
      <w:r>
        <w:rPr>
          <w:rFonts w:cs="Arial"/>
          <w:b/>
          <w:sz w:val="20"/>
          <w:szCs w:val="20"/>
        </w:rPr>
        <w:t>Inhibidores de la DP</w:t>
      </w:r>
      <w:r w:rsidRPr="002B790E">
        <w:rPr>
          <w:rFonts w:cs="Arial"/>
          <w:b/>
          <w:sz w:val="20"/>
          <w:szCs w:val="20"/>
        </w:rPr>
        <w:t>P4</w:t>
      </w:r>
    </w:p>
    <w:p w:rsidR="00E81B3D" w:rsidRPr="0049306A" w:rsidRDefault="00E81B3D" w:rsidP="00D27AE3">
      <w:pPr>
        <w:spacing w:before="120" w:after="120"/>
        <w:ind w:left="1701"/>
        <w:rPr>
          <w:rFonts w:cs="Arial"/>
          <w:sz w:val="20"/>
          <w:szCs w:val="20"/>
        </w:rPr>
      </w:pPr>
      <w:r w:rsidRPr="0049306A">
        <w:rPr>
          <w:rFonts w:cs="Arial"/>
          <w:sz w:val="20"/>
          <w:szCs w:val="20"/>
        </w:rPr>
        <w:t xml:space="preserve">Con un FG por encima de 50 </w:t>
      </w:r>
      <w:r w:rsidRPr="0049306A">
        <w:rPr>
          <w:sz w:val="20"/>
          <w:szCs w:val="20"/>
        </w:rPr>
        <w:t>ml/min/1,73m</w:t>
      </w:r>
      <w:r w:rsidRPr="0049306A">
        <w:rPr>
          <w:sz w:val="20"/>
          <w:szCs w:val="20"/>
          <w:vertAlign w:val="superscript"/>
        </w:rPr>
        <w:t xml:space="preserve">2 </w:t>
      </w:r>
      <w:r w:rsidRPr="0049306A">
        <w:rPr>
          <w:rFonts w:cs="Arial"/>
          <w:sz w:val="20"/>
          <w:szCs w:val="20"/>
        </w:rPr>
        <w:t xml:space="preserve">ninguna gliptina precisa ajuste. Sitagliptina, vildagliptina y saxagliptina precisan ajuste de dosis cuando el FG es menor de 50 </w:t>
      </w:r>
      <w:r w:rsidRPr="0049306A">
        <w:rPr>
          <w:sz w:val="20"/>
          <w:szCs w:val="20"/>
        </w:rPr>
        <w:t>ml/min/1,73m</w:t>
      </w:r>
      <w:r w:rsidRPr="0049306A">
        <w:rPr>
          <w:sz w:val="20"/>
          <w:szCs w:val="20"/>
          <w:vertAlign w:val="superscript"/>
        </w:rPr>
        <w:t>2</w:t>
      </w:r>
      <w:r w:rsidRPr="0049306A">
        <w:rPr>
          <w:rFonts w:cs="Arial"/>
          <w:sz w:val="20"/>
          <w:szCs w:val="20"/>
        </w:rPr>
        <w:t>.</w:t>
      </w:r>
    </w:p>
    <w:p w:rsidR="00E81B3D" w:rsidRPr="0049306A" w:rsidRDefault="00E81B3D" w:rsidP="00D27AE3">
      <w:pPr>
        <w:spacing w:before="120" w:after="120"/>
        <w:ind w:left="1701"/>
        <w:rPr>
          <w:rFonts w:cs="Arial"/>
          <w:sz w:val="20"/>
          <w:szCs w:val="20"/>
        </w:rPr>
      </w:pPr>
      <w:r w:rsidRPr="0049306A">
        <w:rPr>
          <w:rFonts w:cs="Arial"/>
          <w:sz w:val="20"/>
          <w:szCs w:val="20"/>
        </w:rPr>
        <w:t xml:space="preserve">Sitagliptina se debe usar a dosis de 50 mg y 25 mg cuando el FG está entre 50 y 30 </w:t>
      </w:r>
      <w:r w:rsidRPr="0049306A">
        <w:rPr>
          <w:sz w:val="20"/>
          <w:szCs w:val="20"/>
        </w:rPr>
        <w:t>ml/min/1,73m</w:t>
      </w:r>
      <w:r w:rsidRPr="0049306A">
        <w:rPr>
          <w:sz w:val="20"/>
          <w:szCs w:val="20"/>
          <w:vertAlign w:val="superscript"/>
        </w:rPr>
        <w:t xml:space="preserve">2 </w:t>
      </w:r>
      <w:r w:rsidRPr="0049306A">
        <w:rPr>
          <w:rFonts w:cs="Arial"/>
          <w:sz w:val="20"/>
          <w:szCs w:val="20"/>
        </w:rPr>
        <w:t xml:space="preserve">y por debajo de 30 </w:t>
      </w:r>
      <w:r w:rsidRPr="0049306A">
        <w:rPr>
          <w:sz w:val="20"/>
          <w:szCs w:val="20"/>
        </w:rPr>
        <w:t>ml/min/1,73m</w:t>
      </w:r>
      <w:r w:rsidRPr="0049306A">
        <w:rPr>
          <w:sz w:val="20"/>
          <w:szCs w:val="20"/>
          <w:vertAlign w:val="superscript"/>
        </w:rPr>
        <w:t xml:space="preserve">2 </w:t>
      </w:r>
      <w:r w:rsidRPr="0049306A">
        <w:rPr>
          <w:rFonts w:cs="Arial"/>
          <w:sz w:val="20"/>
          <w:szCs w:val="20"/>
        </w:rPr>
        <w:t>respectivamente.</w:t>
      </w:r>
    </w:p>
    <w:p w:rsidR="00E81B3D" w:rsidRPr="0049306A" w:rsidRDefault="00E81B3D" w:rsidP="00D27AE3">
      <w:pPr>
        <w:spacing w:before="120" w:after="120"/>
        <w:ind w:left="1701"/>
        <w:rPr>
          <w:rFonts w:cs="Arial"/>
          <w:sz w:val="20"/>
          <w:szCs w:val="20"/>
        </w:rPr>
      </w:pPr>
      <w:r w:rsidRPr="0049306A">
        <w:rPr>
          <w:rFonts w:cs="Arial"/>
          <w:sz w:val="20"/>
          <w:szCs w:val="20"/>
        </w:rPr>
        <w:t xml:space="preserve">Vildagliptina se debe usar a dosis de 50 mg por debajo de 50 </w:t>
      </w:r>
      <w:r w:rsidRPr="0049306A">
        <w:rPr>
          <w:sz w:val="20"/>
          <w:szCs w:val="20"/>
        </w:rPr>
        <w:t>ml/min/1,73m</w:t>
      </w:r>
      <w:r w:rsidRPr="0049306A">
        <w:rPr>
          <w:sz w:val="20"/>
          <w:szCs w:val="20"/>
          <w:vertAlign w:val="superscript"/>
        </w:rPr>
        <w:t xml:space="preserve">2 </w:t>
      </w:r>
      <w:r w:rsidRPr="0049306A">
        <w:rPr>
          <w:rFonts w:cs="Arial"/>
          <w:sz w:val="20"/>
          <w:szCs w:val="20"/>
        </w:rPr>
        <w:t>incluida la ERC terminal que precise diálisis.</w:t>
      </w:r>
    </w:p>
    <w:p w:rsidR="00E81B3D" w:rsidRPr="0049306A" w:rsidRDefault="00E81B3D" w:rsidP="00D27AE3">
      <w:pPr>
        <w:spacing w:before="120" w:after="120"/>
        <w:ind w:left="1701"/>
        <w:rPr>
          <w:rFonts w:cs="Arial"/>
          <w:sz w:val="20"/>
          <w:szCs w:val="20"/>
        </w:rPr>
      </w:pPr>
      <w:r w:rsidRPr="0049306A">
        <w:rPr>
          <w:rFonts w:cs="Arial"/>
          <w:sz w:val="20"/>
          <w:szCs w:val="20"/>
        </w:rPr>
        <w:t xml:space="preserve">Saxagliptina se debe usar a dosis de 2, 5 mg en los pacientes con FG inferior a 50 </w:t>
      </w:r>
      <w:r w:rsidRPr="0049306A">
        <w:rPr>
          <w:sz w:val="20"/>
          <w:szCs w:val="20"/>
        </w:rPr>
        <w:t>ml/min/1,73m</w:t>
      </w:r>
      <w:r w:rsidRPr="0049306A">
        <w:rPr>
          <w:sz w:val="20"/>
          <w:szCs w:val="20"/>
          <w:vertAlign w:val="superscript"/>
        </w:rPr>
        <w:t>2</w:t>
      </w:r>
      <w:r w:rsidRPr="0049306A">
        <w:rPr>
          <w:rFonts w:cs="Arial"/>
          <w:strike/>
          <w:sz w:val="20"/>
          <w:szCs w:val="20"/>
        </w:rPr>
        <w:t xml:space="preserve"> </w:t>
      </w:r>
      <w:r w:rsidRPr="0049306A">
        <w:rPr>
          <w:rFonts w:cs="Arial"/>
          <w:sz w:val="20"/>
          <w:szCs w:val="20"/>
        </w:rPr>
        <w:t>y no tiene</w:t>
      </w:r>
      <w:r w:rsidRPr="0049306A">
        <w:rPr>
          <w:rFonts w:cs="Arial"/>
          <w:strike/>
          <w:sz w:val="20"/>
          <w:szCs w:val="20"/>
        </w:rPr>
        <w:t>n</w:t>
      </w:r>
      <w:r w:rsidRPr="0049306A">
        <w:rPr>
          <w:rFonts w:cs="Arial"/>
          <w:sz w:val="20"/>
          <w:szCs w:val="20"/>
        </w:rPr>
        <w:t xml:space="preserve"> indicación de uso en pacientes con ERC terminal o diálisis.</w:t>
      </w:r>
    </w:p>
    <w:p w:rsidR="00E81B3D" w:rsidRPr="0049306A" w:rsidRDefault="00E81B3D" w:rsidP="00D27AE3">
      <w:pPr>
        <w:spacing w:before="120" w:after="120"/>
        <w:ind w:left="1701"/>
        <w:rPr>
          <w:rFonts w:cs="Arial"/>
          <w:sz w:val="20"/>
          <w:szCs w:val="20"/>
        </w:rPr>
      </w:pPr>
      <w:r w:rsidRPr="0049306A">
        <w:rPr>
          <w:rFonts w:cs="Arial"/>
          <w:sz w:val="20"/>
          <w:szCs w:val="20"/>
        </w:rPr>
        <w:t>Linagliptina no precisa ajuste de dosis en todos los estadios de la ERC. La tabla 10 recoge las indicaciones aprobadas para los inhibidores de la DDP4.</w:t>
      </w:r>
    </w:p>
    <w:p w:rsidR="007908A6" w:rsidRDefault="007908A6" w:rsidP="003C3D97">
      <w:pPr>
        <w:spacing w:before="120" w:after="120"/>
        <w:ind w:left="1701"/>
        <w:rPr>
          <w:rFonts w:cs="Arial"/>
          <w:sz w:val="20"/>
          <w:szCs w:val="20"/>
        </w:rPr>
      </w:pPr>
    </w:p>
    <w:p w:rsidR="00E81B3D" w:rsidRDefault="00E81B3D" w:rsidP="00904912">
      <w:pPr>
        <w:spacing w:before="120" w:after="120"/>
        <w:ind w:left="993"/>
        <w:jc w:val="left"/>
        <w:rPr>
          <w:rFonts w:cs="Arial"/>
          <w:sz w:val="20"/>
          <w:szCs w:val="20"/>
        </w:rPr>
      </w:pPr>
      <w:r w:rsidRPr="00BB4E91">
        <w:rPr>
          <w:rFonts w:cs="Arial"/>
          <w:b/>
          <w:sz w:val="18"/>
          <w:szCs w:val="18"/>
        </w:rPr>
        <w:t>Tabla 10. USO APROBADO DE LOS INHIBIDORES DE LA DPP4 EN DIFERENTES SUBPOBLACIONES (2012)</w:t>
      </w: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18"/>
        <w:gridCol w:w="1559"/>
        <w:gridCol w:w="1559"/>
        <w:gridCol w:w="1418"/>
        <w:gridCol w:w="1275"/>
      </w:tblGrid>
      <w:tr w:rsidR="00E81B3D" w:rsidRPr="00914C78" w:rsidTr="00ED3187">
        <w:trPr>
          <w:trHeight w:val="315"/>
        </w:trPr>
        <w:tc>
          <w:tcPr>
            <w:tcW w:w="1701" w:type="dxa"/>
            <w:vMerge w:val="restart"/>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Molécula</w:t>
            </w:r>
          </w:p>
        </w:tc>
        <w:tc>
          <w:tcPr>
            <w:tcW w:w="4536" w:type="dxa"/>
            <w:gridSpan w:val="3"/>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Insuficiencia renal</w:t>
            </w:r>
          </w:p>
        </w:tc>
        <w:tc>
          <w:tcPr>
            <w:tcW w:w="2693" w:type="dxa"/>
            <w:gridSpan w:val="2"/>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Insuficiencia hepática</w:t>
            </w:r>
          </w:p>
        </w:tc>
      </w:tr>
      <w:tr w:rsidR="00E81B3D" w:rsidRPr="00914C78" w:rsidTr="00ED3187">
        <w:trPr>
          <w:trHeight w:val="315"/>
        </w:trPr>
        <w:tc>
          <w:tcPr>
            <w:tcW w:w="1701" w:type="dxa"/>
            <w:vMerge/>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p>
        </w:tc>
        <w:tc>
          <w:tcPr>
            <w:tcW w:w="1418" w:type="dxa"/>
            <w:vAlign w:val="center"/>
          </w:tcPr>
          <w:p w:rsidR="00E81B3D" w:rsidRPr="00E914FB" w:rsidRDefault="00E81B3D" w:rsidP="00B131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auto"/>
                <w:sz w:val="18"/>
                <w:szCs w:val="18"/>
                <w:lang w:val="da-DK"/>
              </w:rPr>
            </w:pPr>
            <w:r w:rsidRPr="00E914FB">
              <w:rPr>
                <w:rFonts w:ascii="Arial" w:hAnsi="Arial"/>
                <w:b/>
                <w:color w:val="auto"/>
                <w:sz w:val="18"/>
                <w:szCs w:val="18"/>
                <w:lang w:val="da-DK"/>
              </w:rPr>
              <w:t>Leve</w:t>
            </w:r>
          </w:p>
          <w:p w:rsidR="00E81B3D" w:rsidRPr="00E914FB" w:rsidRDefault="00E81B3D" w:rsidP="007C6C1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auto"/>
                <w:sz w:val="18"/>
                <w:szCs w:val="18"/>
                <w:lang w:val="da-DK"/>
              </w:rPr>
            </w:pPr>
            <w:r w:rsidRPr="00E914FB">
              <w:rPr>
                <w:rFonts w:ascii="Arial" w:hAnsi="Arial" w:cs="Arial"/>
                <w:color w:val="auto"/>
                <w:sz w:val="16"/>
                <w:szCs w:val="16"/>
                <w:lang w:val="da-DK"/>
              </w:rPr>
              <w:t>FG ≥ 50 ml/min/1,73m</w:t>
            </w:r>
            <w:r w:rsidRPr="00E914FB">
              <w:rPr>
                <w:rFonts w:ascii="Arial" w:hAnsi="Arial" w:cs="Arial"/>
                <w:color w:val="auto"/>
                <w:sz w:val="16"/>
                <w:szCs w:val="16"/>
                <w:vertAlign w:val="superscript"/>
                <w:lang w:val="da-DK"/>
              </w:rPr>
              <w:t>2</w:t>
            </w:r>
          </w:p>
        </w:tc>
        <w:tc>
          <w:tcPr>
            <w:tcW w:w="1559" w:type="dxa"/>
            <w:vAlign w:val="center"/>
          </w:tcPr>
          <w:p w:rsidR="00E81B3D" w:rsidRPr="0049306A" w:rsidRDefault="00E81B3D" w:rsidP="00B131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auto"/>
                <w:sz w:val="18"/>
                <w:szCs w:val="18"/>
              </w:rPr>
            </w:pPr>
            <w:r w:rsidRPr="0049306A">
              <w:rPr>
                <w:rFonts w:ascii="Arial" w:hAnsi="Arial"/>
                <w:b/>
                <w:color w:val="auto"/>
                <w:sz w:val="18"/>
                <w:szCs w:val="18"/>
              </w:rPr>
              <w:t>Moderada</w:t>
            </w:r>
          </w:p>
          <w:p w:rsidR="00E81B3D" w:rsidRPr="0049306A" w:rsidRDefault="00E81B3D" w:rsidP="007C6C1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auto"/>
                <w:sz w:val="18"/>
                <w:szCs w:val="18"/>
              </w:rPr>
            </w:pPr>
            <w:r w:rsidRPr="0049306A">
              <w:rPr>
                <w:rFonts w:ascii="Arial" w:hAnsi="Arial" w:cs="Arial"/>
                <w:color w:val="auto"/>
                <w:sz w:val="16"/>
                <w:szCs w:val="16"/>
              </w:rPr>
              <w:t xml:space="preserve">FG </w:t>
            </w:r>
            <w:r>
              <w:rPr>
                <w:rFonts w:ascii="Arial" w:hAnsi="Arial" w:cs="Arial"/>
                <w:color w:val="auto"/>
                <w:sz w:val="16"/>
                <w:szCs w:val="16"/>
              </w:rPr>
              <w:t xml:space="preserve">&lt; 50 y &gt; 30  </w:t>
            </w:r>
            <w:r w:rsidRPr="0049306A">
              <w:rPr>
                <w:rFonts w:ascii="Arial" w:hAnsi="Arial" w:cs="Arial"/>
                <w:color w:val="auto"/>
                <w:sz w:val="16"/>
                <w:szCs w:val="16"/>
              </w:rPr>
              <w:t>ml/min/1,73m</w:t>
            </w:r>
            <w:r w:rsidRPr="0049306A">
              <w:rPr>
                <w:rFonts w:ascii="Arial" w:hAnsi="Arial" w:cs="Arial"/>
                <w:color w:val="auto"/>
                <w:sz w:val="16"/>
                <w:szCs w:val="16"/>
                <w:vertAlign w:val="superscript"/>
              </w:rPr>
              <w:t>2</w:t>
            </w:r>
          </w:p>
        </w:tc>
        <w:tc>
          <w:tcPr>
            <w:tcW w:w="1559" w:type="dxa"/>
            <w:vAlign w:val="center"/>
          </w:tcPr>
          <w:p w:rsidR="00E81B3D" w:rsidRPr="00E914FB" w:rsidRDefault="00E81B3D" w:rsidP="00B131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auto"/>
                <w:sz w:val="18"/>
                <w:szCs w:val="18"/>
                <w:lang w:val="sv-SE"/>
              </w:rPr>
            </w:pPr>
            <w:r w:rsidRPr="00E914FB">
              <w:rPr>
                <w:rFonts w:ascii="Arial" w:hAnsi="Arial"/>
                <w:b/>
                <w:color w:val="auto"/>
                <w:sz w:val="18"/>
                <w:szCs w:val="18"/>
                <w:lang w:val="sv-SE"/>
              </w:rPr>
              <w:t>Severa</w:t>
            </w:r>
          </w:p>
          <w:p w:rsidR="00E81B3D" w:rsidRPr="00E914FB" w:rsidRDefault="00E81B3D" w:rsidP="00B131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auto"/>
                <w:sz w:val="18"/>
                <w:szCs w:val="18"/>
                <w:lang w:val="sv-SE"/>
              </w:rPr>
            </w:pPr>
            <w:r w:rsidRPr="00E914FB">
              <w:rPr>
                <w:rFonts w:ascii="Arial" w:hAnsi="Arial" w:cs="Arial"/>
                <w:color w:val="auto"/>
                <w:sz w:val="16"/>
                <w:szCs w:val="16"/>
                <w:lang w:val="sv-SE"/>
              </w:rPr>
              <w:t>FG  ≤ 30 ml/min/1,73m</w:t>
            </w:r>
            <w:r w:rsidRPr="00E914FB">
              <w:rPr>
                <w:rFonts w:ascii="Arial" w:hAnsi="Arial" w:cs="Arial"/>
                <w:color w:val="auto"/>
                <w:sz w:val="16"/>
                <w:szCs w:val="16"/>
                <w:vertAlign w:val="superscript"/>
                <w:lang w:val="sv-SE"/>
              </w:rPr>
              <w:t>2</w:t>
            </w:r>
          </w:p>
        </w:tc>
        <w:tc>
          <w:tcPr>
            <w:tcW w:w="1418"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Leve / Moderada</w:t>
            </w:r>
          </w:p>
        </w:tc>
        <w:tc>
          <w:tcPr>
            <w:tcW w:w="1275"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Severa</w:t>
            </w:r>
          </w:p>
        </w:tc>
      </w:tr>
      <w:tr w:rsidR="00E81B3D" w:rsidRPr="00914C78" w:rsidTr="00ED3187">
        <w:trPr>
          <w:trHeight w:val="615"/>
        </w:trPr>
        <w:tc>
          <w:tcPr>
            <w:tcW w:w="1701"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Sitagliptina</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FFFFFF"/>
                <w:sz w:val="18"/>
                <w:szCs w:val="18"/>
              </w:rPr>
            </w:pPr>
            <w:r w:rsidRPr="00DA188C">
              <w:rPr>
                <w:rFonts w:ascii="Arial" w:hAnsi="Arial" w:cs="Arial"/>
                <w:b/>
                <w:color w:val="FFFFFF"/>
                <w:sz w:val="18"/>
                <w:szCs w:val="18"/>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color w:val="FFFFFF"/>
                <w:sz w:val="16"/>
                <w:szCs w:val="16"/>
              </w:rPr>
              <w:t>½ dosis (</w:t>
            </w:r>
            <w:r>
              <w:rPr>
                <w:rFonts w:ascii="Arial" w:hAnsi="Arial" w:cs="Arial"/>
                <w:color w:val="FFFFFF"/>
                <w:sz w:val="16"/>
                <w:szCs w:val="16"/>
              </w:rPr>
              <w:t>EEUU</w:t>
            </w:r>
            <w:r w:rsidRPr="00DA188C">
              <w:rPr>
                <w:rFonts w:ascii="Arial" w:hAnsi="Arial" w:cs="Arial"/>
                <w:color w:val="FFFFFF"/>
                <w:sz w:val="16"/>
                <w:szCs w:val="16"/>
              </w:rPr>
              <w:t xml:space="preserve"> y </w:t>
            </w:r>
            <w:r>
              <w:rPr>
                <w:rFonts w:ascii="Arial" w:hAnsi="Arial" w:cs="Arial"/>
                <w:color w:val="FFFFFF"/>
                <w:sz w:val="16"/>
                <w:szCs w:val="16"/>
              </w:rPr>
              <w:t>UE</w:t>
            </w:r>
            <w:r w:rsidRPr="00DA188C">
              <w:rPr>
                <w:rFonts w:ascii="Arial" w:hAnsi="Arial" w:cs="Arial"/>
                <w:color w:val="FFFFFF"/>
                <w:sz w:val="16"/>
                <w:szCs w:val="16"/>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s="Arial"/>
                <w:color w:val="FFFFFF"/>
                <w:sz w:val="16"/>
                <w:szCs w:val="16"/>
              </w:rPr>
            </w:pPr>
            <w:r w:rsidRPr="00DA188C">
              <w:rPr>
                <w:rFonts w:ascii="Arial" w:hAnsi="Arial" w:cs="Arial"/>
                <w:color w:val="FFFFFF"/>
                <w:sz w:val="16"/>
                <w:szCs w:val="16"/>
              </w:rPr>
              <w:t>¼ dosis (</w:t>
            </w:r>
            <w:r>
              <w:rPr>
                <w:rFonts w:ascii="Arial" w:hAnsi="Arial" w:cs="Arial"/>
                <w:color w:val="FFFFFF"/>
                <w:sz w:val="16"/>
                <w:szCs w:val="16"/>
              </w:rPr>
              <w:t>EEUU</w:t>
            </w:r>
            <w:r w:rsidRPr="00DA188C">
              <w:rPr>
                <w:rFonts w:ascii="Arial" w:hAnsi="Arial" w:cs="Arial"/>
                <w:color w:val="FFFFFF"/>
                <w:sz w:val="16"/>
                <w:szCs w:val="16"/>
              </w:rPr>
              <w:t xml:space="preserve"> y </w:t>
            </w:r>
            <w:r>
              <w:rPr>
                <w:rFonts w:ascii="Arial" w:hAnsi="Arial" w:cs="Arial"/>
                <w:color w:val="FFFFFF"/>
                <w:sz w:val="16"/>
                <w:szCs w:val="16"/>
              </w:rPr>
              <w:t>UE</w:t>
            </w:r>
            <w:r w:rsidRPr="00DA188C">
              <w:rPr>
                <w:rFonts w:ascii="Arial" w:hAnsi="Arial" w:cs="Arial"/>
                <w:color w:val="FFFFFF"/>
                <w:sz w:val="16"/>
                <w:szCs w:val="16"/>
              </w:rPr>
              <w:t>)</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w:t>
            </w:r>
          </w:p>
        </w:tc>
        <w:tc>
          <w:tcPr>
            <w:tcW w:w="1275" w:type="dxa"/>
            <w:shd w:val="clear" w:color="auto" w:fill="FF000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olor w:val="FFFFFF"/>
                <w:sz w:val="16"/>
                <w:szCs w:val="16"/>
              </w:rPr>
              <w:t>No recomendada</w:t>
            </w:r>
          </w:p>
        </w:tc>
      </w:tr>
      <w:tr w:rsidR="00E81B3D" w:rsidRPr="00914C78" w:rsidTr="00ED3187">
        <w:trPr>
          <w:trHeight w:val="315"/>
        </w:trPr>
        <w:tc>
          <w:tcPr>
            <w:tcW w:w="1701"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Vildagliptina</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FFFFFF"/>
                <w:sz w:val="18"/>
                <w:szCs w:val="18"/>
              </w:rPr>
            </w:pPr>
            <w:r w:rsidRPr="00DA188C">
              <w:rPr>
                <w:rFonts w:ascii="Arial" w:hAnsi="Arial" w:cs="Arial"/>
                <w:b/>
                <w:color w:val="FFFFFF"/>
                <w:sz w:val="18"/>
                <w:szCs w:val="18"/>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color w:val="FFFFFF"/>
                <w:sz w:val="16"/>
                <w:szCs w:val="16"/>
              </w:rPr>
              <w:t>½ dosis</w:t>
            </w:r>
            <w:r>
              <w:rPr>
                <w:rFonts w:ascii="Arial" w:hAnsi="Arial" w:cs="Arial"/>
                <w:color w:val="FFFFFF"/>
                <w:sz w:val="16"/>
                <w:szCs w:val="16"/>
              </w:rPr>
              <w:t xml:space="preserve"> (UE)</w:t>
            </w:r>
            <w:r w:rsidRPr="00DA188C">
              <w:rPr>
                <w:rFonts w:ascii="Arial" w:hAnsi="Arial" w:cs="Arial"/>
                <w:color w:val="FFFFFF"/>
                <w:sz w:val="16"/>
                <w:szCs w:val="16"/>
              </w:rPr>
              <w:t xml:space="preserve"> </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color w:val="FFFFFF"/>
                <w:sz w:val="16"/>
                <w:szCs w:val="16"/>
              </w:rPr>
              <w:t xml:space="preserve">½ dosis </w:t>
            </w:r>
            <w:r>
              <w:rPr>
                <w:rFonts w:ascii="Arial" w:hAnsi="Arial" w:cs="Arial"/>
                <w:color w:val="FFFFFF"/>
                <w:sz w:val="16"/>
                <w:szCs w:val="16"/>
              </w:rPr>
              <w:t>(UE)(*)</w:t>
            </w:r>
          </w:p>
        </w:tc>
        <w:tc>
          <w:tcPr>
            <w:tcW w:w="1418" w:type="dxa"/>
            <w:shd w:val="clear" w:color="auto" w:fill="FF000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olor w:val="FFFFFF"/>
                <w:sz w:val="16"/>
                <w:szCs w:val="16"/>
              </w:rPr>
              <w:t>No recomendada</w:t>
            </w:r>
          </w:p>
        </w:tc>
        <w:tc>
          <w:tcPr>
            <w:tcW w:w="1275" w:type="dxa"/>
            <w:shd w:val="clear" w:color="auto" w:fill="FF000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olor w:val="FFFFFF"/>
                <w:sz w:val="16"/>
                <w:szCs w:val="16"/>
              </w:rPr>
              <w:t>No recomendada</w:t>
            </w:r>
          </w:p>
        </w:tc>
      </w:tr>
      <w:tr w:rsidR="00E81B3D" w:rsidRPr="00914C78" w:rsidTr="00ED3187">
        <w:trPr>
          <w:trHeight w:val="561"/>
        </w:trPr>
        <w:tc>
          <w:tcPr>
            <w:tcW w:w="1701"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Saxagliptina</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FFFFFF"/>
                <w:sz w:val="18"/>
                <w:szCs w:val="18"/>
              </w:rPr>
            </w:pPr>
            <w:r w:rsidRPr="00DA188C">
              <w:rPr>
                <w:rFonts w:ascii="Arial" w:hAnsi="Arial" w:cs="Arial"/>
                <w:b/>
                <w:color w:val="FFFFFF"/>
                <w:sz w:val="18"/>
                <w:szCs w:val="18"/>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color w:val="FFFFFF"/>
                <w:sz w:val="16"/>
                <w:szCs w:val="16"/>
              </w:rPr>
              <w:t>½ dosis (</w:t>
            </w:r>
            <w:r>
              <w:rPr>
                <w:rFonts w:ascii="Arial" w:hAnsi="Arial" w:cs="Arial"/>
                <w:color w:val="FFFFFF"/>
                <w:sz w:val="16"/>
                <w:szCs w:val="16"/>
              </w:rPr>
              <w:t xml:space="preserve">EEUU </w:t>
            </w:r>
            <w:r w:rsidRPr="00DA188C">
              <w:rPr>
                <w:rFonts w:ascii="Arial" w:hAnsi="Arial" w:cs="Arial"/>
                <w:color w:val="FFFFFF"/>
                <w:sz w:val="16"/>
                <w:szCs w:val="16"/>
              </w:rPr>
              <w:t xml:space="preserve">y </w:t>
            </w:r>
            <w:r>
              <w:rPr>
                <w:rFonts w:ascii="Arial" w:hAnsi="Arial" w:cs="Arial"/>
                <w:color w:val="FFFFFF"/>
                <w:sz w:val="16"/>
                <w:szCs w:val="16"/>
              </w:rPr>
              <w:t>UE</w:t>
            </w:r>
            <w:r w:rsidRPr="00DA188C">
              <w:rPr>
                <w:rFonts w:ascii="Arial" w:hAnsi="Arial" w:cs="Arial"/>
                <w:color w:val="FFFFFF"/>
                <w:sz w:val="16"/>
                <w:szCs w:val="16"/>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color w:val="FFFFFF"/>
                <w:sz w:val="16"/>
                <w:szCs w:val="16"/>
              </w:rPr>
              <w:t>½ dosis (</w:t>
            </w:r>
            <w:r>
              <w:rPr>
                <w:rFonts w:ascii="Arial" w:hAnsi="Arial" w:cs="Arial"/>
                <w:color w:val="FFFFFF"/>
                <w:sz w:val="16"/>
                <w:szCs w:val="16"/>
              </w:rPr>
              <w:t>EEUU</w:t>
            </w:r>
            <w:r w:rsidRPr="00DA188C">
              <w:rPr>
                <w:rFonts w:ascii="Arial" w:hAnsi="Arial" w:cs="Arial"/>
                <w:color w:val="FFFFFF"/>
                <w:sz w:val="16"/>
                <w:szCs w:val="16"/>
              </w:rPr>
              <w:t xml:space="preserve"> y </w:t>
            </w:r>
            <w:r>
              <w:rPr>
                <w:rFonts w:ascii="Arial" w:hAnsi="Arial" w:cs="Arial"/>
                <w:color w:val="FFFFFF"/>
                <w:sz w:val="16"/>
                <w:szCs w:val="16"/>
              </w:rPr>
              <w:t>UE</w:t>
            </w:r>
            <w:r w:rsidRPr="00DA188C">
              <w:rPr>
                <w:rFonts w:ascii="Arial" w:hAnsi="Arial" w:cs="Arial"/>
                <w:color w:val="FFFFFF"/>
                <w:sz w:val="16"/>
                <w:szCs w:val="16"/>
              </w:rPr>
              <w:t>)</w:t>
            </w:r>
          </w:p>
        </w:tc>
        <w:tc>
          <w:tcPr>
            <w:tcW w:w="1418" w:type="dxa"/>
            <w:shd w:val="clear" w:color="auto" w:fill="92D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 (</w:t>
            </w:r>
            <w:r w:rsidRPr="00DA188C">
              <w:rPr>
                <w:rFonts w:ascii="Arial" w:hAnsi="Arial"/>
                <w:color w:val="FFFFFF"/>
                <w:sz w:val="16"/>
                <w:szCs w:val="16"/>
              </w:rPr>
              <w:t>Moderado: uso con precaución)</w:t>
            </w:r>
          </w:p>
        </w:tc>
        <w:tc>
          <w:tcPr>
            <w:tcW w:w="1275" w:type="dxa"/>
            <w:shd w:val="clear" w:color="auto" w:fill="FF000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olor w:val="FFFFFF"/>
                <w:sz w:val="16"/>
                <w:szCs w:val="16"/>
              </w:rPr>
              <w:t>No recomendada</w:t>
            </w:r>
          </w:p>
        </w:tc>
      </w:tr>
      <w:tr w:rsidR="00E81B3D" w:rsidRPr="00914C78" w:rsidTr="00ED3187">
        <w:trPr>
          <w:trHeight w:val="563"/>
        </w:trPr>
        <w:tc>
          <w:tcPr>
            <w:tcW w:w="1701" w:type="dxa"/>
            <w:vAlign w:val="center"/>
          </w:tcPr>
          <w:p w:rsidR="00E81B3D" w:rsidRPr="00914C78"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Linagliptina</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color w:val="FFFFFF"/>
                <w:sz w:val="18"/>
                <w:szCs w:val="18"/>
              </w:rPr>
            </w:pPr>
            <w:r w:rsidRPr="00DA188C">
              <w:rPr>
                <w:rFonts w:ascii="Arial" w:hAnsi="Arial" w:cs="Arial"/>
                <w:b/>
                <w:color w:val="FFFFFF"/>
                <w:sz w:val="18"/>
                <w:szCs w:val="18"/>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w:t>
            </w:r>
          </w:p>
        </w:tc>
        <w:tc>
          <w:tcPr>
            <w:tcW w:w="1559"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w:t>
            </w:r>
          </w:p>
        </w:tc>
        <w:tc>
          <w:tcPr>
            <w:tcW w:w="1418"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w:t>
            </w:r>
          </w:p>
        </w:tc>
        <w:tc>
          <w:tcPr>
            <w:tcW w:w="1275" w:type="dxa"/>
            <w:shd w:val="clear" w:color="auto" w:fill="00B050"/>
            <w:vAlign w:val="center"/>
          </w:tcPr>
          <w:p w:rsidR="00E81B3D" w:rsidRPr="00DA188C" w:rsidRDefault="00E81B3D" w:rsidP="00ED318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olor w:val="FFFFFF"/>
                <w:sz w:val="16"/>
                <w:szCs w:val="16"/>
              </w:rPr>
            </w:pPr>
            <w:r w:rsidRPr="00DA188C">
              <w:rPr>
                <w:rFonts w:ascii="Arial" w:hAnsi="Arial" w:cs="Arial"/>
                <w:b/>
                <w:color w:val="FFFFFF"/>
                <w:sz w:val="18"/>
                <w:szCs w:val="18"/>
              </w:rPr>
              <w:t xml:space="preserve">√ </w:t>
            </w:r>
            <w:r w:rsidRPr="00DA188C">
              <w:rPr>
                <w:rFonts w:ascii="Arial" w:hAnsi="Arial" w:cs="Arial"/>
                <w:color w:val="FFFFFF"/>
                <w:sz w:val="16"/>
                <w:szCs w:val="16"/>
              </w:rPr>
              <w:t>(escasos datos)</w:t>
            </w:r>
          </w:p>
        </w:tc>
      </w:tr>
    </w:tbl>
    <w:p w:rsidR="00E81B3D" w:rsidRDefault="00E81B3D" w:rsidP="007908A6">
      <w:pPr>
        <w:spacing w:before="120" w:after="120"/>
        <w:ind w:left="1701"/>
        <w:rPr>
          <w:rFonts w:cs="Arial"/>
          <w:sz w:val="20"/>
          <w:szCs w:val="20"/>
        </w:rPr>
      </w:pPr>
      <w:r>
        <w:rPr>
          <w:rFonts w:cs="Arial"/>
          <w:sz w:val="20"/>
          <w:szCs w:val="20"/>
        </w:rPr>
        <w:t>*Salvo pacientes con ERC en tratamiento renal sustitutivo.</w:t>
      </w:r>
    </w:p>
    <w:p w:rsidR="00651852" w:rsidRDefault="00651852" w:rsidP="003C3D97">
      <w:pPr>
        <w:spacing w:before="120" w:after="120"/>
        <w:ind w:left="1701"/>
        <w:rPr>
          <w:rFonts w:cs="Arial"/>
          <w:b/>
          <w:sz w:val="20"/>
          <w:szCs w:val="20"/>
        </w:rPr>
      </w:pPr>
    </w:p>
    <w:p w:rsidR="00E81B3D" w:rsidRPr="00437684" w:rsidRDefault="00E81B3D" w:rsidP="003C3D97">
      <w:pPr>
        <w:spacing w:before="120" w:after="120"/>
        <w:ind w:left="1701"/>
        <w:rPr>
          <w:rFonts w:cs="Arial"/>
          <w:b/>
          <w:sz w:val="20"/>
          <w:szCs w:val="20"/>
        </w:rPr>
      </w:pPr>
      <w:r w:rsidRPr="00437684">
        <w:rPr>
          <w:rFonts w:cs="Arial"/>
          <w:b/>
          <w:sz w:val="20"/>
          <w:szCs w:val="20"/>
        </w:rPr>
        <w:t>Análogos de GLP-1</w:t>
      </w:r>
    </w:p>
    <w:p w:rsidR="00E81B3D" w:rsidRPr="00284C4F" w:rsidRDefault="00E81B3D" w:rsidP="003C3D97">
      <w:pPr>
        <w:spacing w:before="120" w:after="120"/>
        <w:ind w:left="1701"/>
        <w:rPr>
          <w:rFonts w:cs="Arial"/>
          <w:sz w:val="20"/>
          <w:szCs w:val="20"/>
        </w:rPr>
      </w:pPr>
      <w:r>
        <w:rPr>
          <w:rFonts w:cs="Arial"/>
          <w:sz w:val="20"/>
          <w:szCs w:val="20"/>
        </w:rPr>
        <w:t xml:space="preserve">Los análogos de GLP-1 </w:t>
      </w:r>
      <w:r w:rsidRPr="00C43C5C">
        <w:rPr>
          <w:rFonts w:cs="Arial"/>
          <w:sz w:val="20"/>
          <w:szCs w:val="20"/>
        </w:rPr>
        <w:t>incrementa</w:t>
      </w:r>
      <w:r>
        <w:rPr>
          <w:rFonts w:cs="Arial"/>
          <w:sz w:val="20"/>
          <w:szCs w:val="20"/>
        </w:rPr>
        <w:t>n</w:t>
      </w:r>
      <w:r w:rsidRPr="00C43C5C">
        <w:rPr>
          <w:rFonts w:cs="Arial"/>
          <w:sz w:val="20"/>
          <w:szCs w:val="20"/>
        </w:rPr>
        <w:t xml:space="preserve"> la secreción de insulina glucosa-dependiente por la célula beta, de manera que deja</w:t>
      </w:r>
      <w:r>
        <w:rPr>
          <w:rFonts w:cs="Arial"/>
          <w:sz w:val="20"/>
          <w:szCs w:val="20"/>
        </w:rPr>
        <w:t>n</w:t>
      </w:r>
      <w:r w:rsidRPr="00C43C5C">
        <w:rPr>
          <w:rFonts w:cs="Arial"/>
          <w:sz w:val="20"/>
          <w:szCs w:val="20"/>
        </w:rPr>
        <w:t xml:space="preserve"> de estimular su liberación en cuanto la glucemia se normaliza. Además también actúa</w:t>
      </w:r>
      <w:r>
        <w:rPr>
          <w:rFonts w:cs="Arial"/>
          <w:sz w:val="20"/>
          <w:szCs w:val="20"/>
        </w:rPr>
        <w:t>n</w:t>
      </w:r>
      <w:r w:rsidRPr="00C43C5C">
        <w:rPr>
          <w:rFonts w:cs="Arial"/>
          <w:sz w:val="20"/>
          <w:szCs w:val="20"/>
        </w:rPr>
        <w:t xml:space="preserve"> inhibiendo la secreción de glucagón por las células alfa pancreáticas. Posee</w:t>
      </w:r>
      <w:r>
        <w:rPr>
          <w:rFonts w:cs="Arial"/>
          <w:sz w:val="20"/>
          <w:szCs w:val="20"/>
        </w:rPr>
        <w:t>n</w:t>
      </w:r>
      <w:r w:rsidRPr="00C43C5C">
        <w:rPr>
          <w:rFonts w:cs="Arial"/>
          <w:sz w:val="20"/>
          <w:szCs w:val="20"/>
        </w:rPr>
        <w:t xml:space="preserve"> otros efectos que también son de utilidad como son el enlentecimiento del vaciado gástrico y la disminución del </w:t>
      </w:r>
      <w:r w:rsidRPr="0049306A">
        <w:rPr>
          <w:rFonts w:cs="Arial"/>
          <w:sz w:val="20"/>
          <w:szCs w:val="20"/>
        </w:rPr>
        <w:t>apetito. Reducen la glucemia de una manera eficaz con escasas o nulas hipoglucemias y produciendo además pérdida de peso, por lo que es una alternativa útil en pacientes obesos (IMC &gt;35 kg/m2). No es necesario un ajuste de la dosis de exenatida ni liraglutida en pacientes con ERC leve (FG&gt; 60 ml/min/1,73m</w:t>
      </w:r>
      <w:r w:rsidRPr="0049306A">
        <w:rPr>
          <w:rFonts w:cs="Arial"/>
          <w:sz w:val="20"/>
          <w:szCs w:val="20"/>
          <w:vertAlign w:val="superscript"/>
        </w:rPr>
        <w:t>2</w:t>
      </w:r>
      <w:r w:rsidRPr="0049306A">
        <w:rPr>
          <w:rFonts w:cs="Arial"/>
          <w:sz w:val="20"/>
          <w:szCs w:val="20"/>
        </w:rPr>
        <w:t>).</w:t>
      </w:r>
      <w:r>
        <w:rPr>
          <w:rFonts w:cs="Arial"/>
          <w:sz w:val="20"/>
          <w:szCs w:val="20"/>
        </w:rPr>
        <w:t xml:space="preserve"> En pacientes con FG entre 30-</w:t>
      </w:r>
      <w:r w:rsidRPr="0049306A">
        <w:rPr>
          <w:rFonts w:cs="Arial"/>
          <w:sz w:val="20"/>
          <w:szCs w:val="20"/>
        </w:rPr>
        <w:t>60 ml/min/1,73m</w:t>
      </w:r>
      <w:r w:rsidRPr="0049306A">
        <w:rPr>
          <w:rFonts w:cs="Arial"/>
          <w:sz w:val="20"/>
          <w:szCs w:val="20"/>
          <w:vertAlign w:val="superscript"/>
        </w:rPr>
        <w:t>2</w:t>
      </w:r>
      <w:r>
        <w:rPr>
          <w:rFonts w:cs="Arial"/>
          <w:sz w:val="20"/>
          <w:szCs w:val="20"/>
        </w:rPr>
        <w:t>, puede administrarse exenatida con una reducción del 50% de la dosis.</w:t>
      </w:r>
    </w:p>
    <w:p w:rsidR="00E81B3D" w:rsidRPr="00437684" w:rsidRDefault="00E81B3D" w:rsidP="003C3D97">
      <w:pPr>
        <w:spacing w:before="120" w:after="120"/>
        <w:ind w:left="1701"/>
        <w:rPr>
          <w:rFonts w:cs="Arial"/>
          <w:b/>
          <w:sz w:val="20"/>
          <w:szCs w:val="20"/>
        </w:rPr>
      </w:pPr>
      <w:r>
        <w:rPr>
          <w:rFonts w:cs="Arial"/>
          <w:b/>
          <w:sz w:val="20"/>
          <w:szCs w:val="20"/>
        </w:rPr>
        <w:lastRenderedPageBreak/>
        <w:t>Insulina</w:t>
      </w:r>
    </w:p>
    <w:p w:rsidR="00E81B3D" w:rsidRPr="00437684" w:rsidRDefault="00E81B3D" w:rsidP="003C3D97">
      <w:pPr>
        <w:spacing w:before="120" w:after="120"/>
        <w:ind w:left="1701"/>
        <w:rPr>
          <w:rFonts w:cs="Arial"/>
          <w:sz w:val="20"/>
          <w:szCs w:val="20"/>
        </w:rPr>
      </w:pPr>
      <w:r>
        <w:rPr>
          <w:rFonts w:cs="Arial"/>
          <w:sz w:val="20"/>
          <w:szCs w:val="20"/>
        </w:rPr>
        <w:t>La E</w:t>
      </w:r>
      <w:r w:rsidRPr="00437684">
        <w:rPr>
          <w:rFonts w:cs="Arial"/>
          <w:sz w:val="20"/>
          <w:szCs w:val="20"/>
        </w:rPr>
        <w:t>RC se aso</w:t>
      </w:r>
      <w:r>
        <w:rPr>
          <w:rFonts w:cs="Arial"/>
          <w:sz w:val="20"/>
          <w:szCs w:val="20"/>
        </w:rPr>
        <w:t>cia a resistencia a la Insulina. S</w:t>
      </w:r>
      <w:r w:rsidRPr="00437684">
        <w:rPr>
          <w:rFonts w:cs="Arial"/>
          <w:sz w:val="20"/>
          <w:szCs w:val="20"/>
        </w:rPr>
        <w:t>in embargo</w:t>
      </w:r>
      <w:r>
        <w:rPr>
          <w:rFonts w:cs="Arial"/>
          <w:sz w:val="20"/>
          <w:szCs w:val="20"/>
        </w:rPr>
        <w:t>,</w:t>
      </w:r>
      <w:r w:rsidRPr="00437684">
        <w:rPr>
          <w:rFonts w:cs="Arial"/>
          <w:sz w:val="20"/>
          <w:szCs w:val="20"/>
        </w:rPr>
        <w:t xml:space="preserve"> la</w:t>
      </w:r>
      <w:r>
        <w:rPr>
          <w:rFonts w:cs="Arial"/>
          <w:sz w:val="20"/>
          <w:szCs w:val="20"/>
        </w:rPr>
        <w:t xml:space="preserve"> E</w:t>
      </w:r>
      <w:r w:rsidRPr="00437684">
        <w:rPr>
          <w:rFonts w:cs="Arial"/>
          <w:sz w:val="20"/>
          <w:szCs w:val="20"/>
        </w:rPr>
        <w:t xml:space="preserve">RC avanzada produce una disminución en la degradación de insulina, con la consiguiente reducción de las necesidades de </w:t>
      </w:r>
      <w:r>
        <w:rPr>
          <w:rFonts w:cs="Arial"/>
          <w:sz w:val="20"/>
          <w:szCs w:val="20"/>
        </w:rPr>
        <w:t>insulina e incluso su cese.</w:t>
      </w:r>
    </w:p>
    <w:p w:rsidR="00E81B3D" w:rsidRPr="00437684" w:rsidRDefault="00E81B3D" w:rsidP="003C3D97">
      <w:pPr>
        <w:spacing w:before="120" w:after="120"/>
        <w:ind w:left="1701"/>
        <w:rPr>
          <w:rFonts w:cs="Arial"/>
          <w:sz w:val="20"/>
          <w:szCs w:val="20"/>
        </w:rPr>
      </w:pPr>
      <w:r w:rsidRPr="00437684">
        <w:rPr>
          <w:rFonts w:cs="Arial"/>
          <w:sz w:val="20"/>
          <w:szCs w:val="20"/>
        </w:rPr>
        <w:t>La diálisis revierte en parte</w:t>
      </w:r>
      <w:r>
        <w:rPr>
          <w:rFonts w:cs="Arial"/>
          <w:sz w:val="20"/>
          <w:szCs w:val="20"/>
        </w:rPr>
        <w:t xml:space="preserve"> </w:t>
      </w:r>
      <w:r w:rsidRPr="00437684">
        <w:rPr>
          <w:rFonts w:cs="Arial"/>
          <w:sz w:val="20"/>
          <w:szCs w:val="20"/>
        </w:rPr>
        <w:t>tanto la resistencia a la insulina como el aumento en su degradación, por otra parte hay que tener en cuenta que el líquido peritoneal tiene un contenido en glucosa muy alto. como resultado de todo ello las necesidades de insulina en un paciente determinado dependerán del balance entre la mejora a la sensibilidad de insulina y la normalización del metabolismo hepático de la insulina, por lo que la individualización del tratamiento con insulina es esencial.</w:t>
      </w:r>
    </w:p>
    <w:p w:rsidR="00E81B3D" w:rsidRPr="0049306A" w:rsidRDefault="00E81B3D" w:rsidP="003C3D97">
      <w:pPr>
        <w:spacing w:before="120" w:after="120"/>
        <w:ind w:left="1701"/>
        <w:rPr>
          <w:rFonts w:cs="Arial"/>
          <w:sz w:val="20"/>
          <w:szCs w:val="20"/>
        </w:rPr>
      </w:pPr>
      <w:r w:rsidRPr="0049306A">
        <w:rPr>
          <w:rFonts w:cs="Arial"/>
          <w:sz w:val="20"/>
          <w:szCs w:val="20"/>
        </w:rPr>
        <w:t>Como normas iniciales que deben adaptarse a cada paciente mediante la monitorización de glucosa podemos señalar:</w:t>
      </w:r>
    </w:p>
    <w:p w:rsidR="00E81B3D" w:rsidRPr="0049306A" w:rsidRDefault="00E81B3D" w:rsidP="00D27AE3">
      <w:pPr>
        <w:numPr>
          <w:ilvl w:val="1"/>
          <w:numId w:val="9"/>
        </w:numPr>
        <w:spacing w:before="120" w:after="120"/>
        <w:ind w:left="2127" w:hanging="284"/>
        <w:rPr>
          <w:rFonts w:cs="Arial"/>
          <w:sz w:val="20"/>
          <w:szCs w:val="20"/>
        </w:rPr>
      </w:pPr>
      <w:bookmarkStart w:id="51" w:name="_Toc316486470"/>
      <w:bookmarkStart w:id="52" w:name="_Toc316486569"/>
      <w:r>
        <w:rPr>
          <w:rFonts w:cs="Arial"/>
          <w:sz w:val="20"/>
          <w:szCs w:val="20"/>
        </w:rPr>
        <w:t>FG</w:t>
      </w:r>
      <w:r w:rsidRPr="0049306A">
        <w:rPr>
          <w:rFonts w:cs="Arial"/>
          <w:sz w:val="20"/>
          <w:szCs w:val="20"/>
        </w:rPr>
        <w:t xml:space="preserve"> &gt; 50 </w:t>
      </w:r>
      <w:r>
        <w:rPr>
          <w:rFonts w:cs="Arial"/>
          <w:sz w:val="16"/>
          <w:szCs w:val="16"/>
        </w:rPr>
        <w:t xml:space="preserve"> </w:t>
      </w:r>
      <w:r w:rsidRPr="008B1435">
        <w:rPr>
          <w:rFonts w:cs="Arial"/>
          <w:sz w:val="20"/>
          <w:szCs w:val="16"/>
        </w:rPr>
        <w:t>ml/min/1,73m</w:t>
      </w:r>
      <w:r w:rsidRPr="008B1435">
        <w:rPr>
          <w:rFonts w:cs="Arial"/>
          <w:sz w:val="20"/>
          <w:szCs w:val="16"/>
          <w:vertAlign w:val="superscript"/>
        </w:rPr>
        <w:t>2</w:t>
      </w:r>
      <w:r w:rsidRPr="0049306A">
        <w:rPr>
          <w:rFonts w:cs="Arial"/>
          <w:sz w:val="20"/>
          <w:szCs w:val="20"/>
        </w:rPr>
        <w:t>: No se precisa ajuste de dosis</w:t>
      </w:r>
    </w:p>
    <w:p w:rsidR="00E81B3D" w:rsidRPr="0049306A" w:rsidRDefault="00E81B3D" w:rsidP="00D27AE3">
      <w:pPr>
        <w:numPr>
          <w:ilvl w:val="1"/>
          <w:numId w:val="9"/>
        </w:numPr>
        <w:spacing w:before="120" w:after="120"/>
        <w:ind w:left="2127" w:hanging="284"/>
        <w:rPr>
          <w:rFonts w:cs="Arial"/>
          <w:sz w:val="20"/>
          <w:szCs w:val="20"/>
        </w:rPr>
      </w:pPr>
      <w:r>
        <w:rPr>
          <w:rFonts w:cs="Arial"/>
          <w:sz w:val="20"/>
          <w:szCs w:val="20"/>
        </w:rPr>
        <w:t xml:space="preserve">FG </w:t>
      </w:r>
      <w:r w:rsidRPr="0049306A">
        <w:rPr>
          <w:rFonts w:cs="Arial"/>
          <w:sz w:val="20"/>
          <w:szCs w:val="20"/>
        </w:rPr>
        <w:t xml:space="preserve">50 -10 </w:t>
      </w:r>
      <w:r w:rsidRPr="008B1435">
        <w:rPr>
          <w:rFonts w:cs="Arial"/>
          <w:sz w:val="20"/>
          <w:szCs w:val="16"/>
        </w:rPr>
        <w:t>ml/min/1,73m</w:t>
      </w:r>
      <w:r w:rsidRPr="008B1435">
        <w:rPr>
          <w:rFonts w:cs="Arial"/>
          <w:sz w:val="20"/>
          <w:szCs w:val="16"/>
          <w:vertAlign w:val="superscript"/>
        </w:rPr>
        <w:t>2</w:t>
      </w:r>
      <w:r w:rsidRPr="0049306A">
        <w:rPr>
          <w:rFonts w:cs="Arial"/>
          <w:sz w:val="20"/>
          <w:szCs w:val="20"/>
        </w:rPr>
        <w:t>: Reducir al 75% de la dosis basal</w:t>
      </w:r>
    </w:p>
    <w:p w:rsidR="00E81B3D" w:rsidRPr="0049306A" w:rsidRDefault="00E81B3D" w:rsidP="00D27AE3">
      <w:pPr>
        <w:numPr>
          <w:ilvl w:val="1"/>
          <w:numId w:val="9"/>
        </w:numPr>
        <w:spacing w:before="120" w:after="120"/>
        <w:ind w:left="2127" w:hanging="284"/>
        <w:rPr>
          <w:rFonts w:cs="Arial"/>
          <w:sz w:val="20"/>
          <w:szCs w:val="20"/>
        </w:rPr>
      </w:pPr>
      <w:r>
        <w:rPr>
          <w:rFonts w:cs="Arial"/>
          <w:sz w:val="20"/>
          <w:szCs w:val="20"/>
        </w:rPr>
        <w:t xml:space="preserve">FG </w:t>
      </w:r>
      <w:r w:rsidRPr="0049306A">
        <w:rPr>
          <w:rFonts w:cs="Arial"/>
          <w:sz w:val="20"/>
          <w:szCs w:val="20"/>
        </w:rPr>
        <w:t xml:space="preserve">&lt;10 </w:t>
      </w:r>
      <w:r w:rsidRPr="008B1435">
        <w:rPr>
          <w:rFonts w:cs="Arial"/>
          <w:sz w:val="20"/>
          <w:szCs w:val="16"/>
        </w:rPr>
        <w:t>ml/min/1,73m</w:t>
      </w:r>
      <w:r w:rsidRPr="008B1435">
        <w:rPr>
          <w:rFonts w:cs="Arial"/>
          <w:sz w:val="20"/>
          <w:szCs w:val="16"/>
          <w:vertAlign w:val="superscript"/>
        </w:rPr>
        <w:t>2</w:t>
      </w:r>
      <w:r w:rsidRPr="0049306A">
        <w:rPr>
          <w:rFonts w:cs="Arial"/>
          <w:sz w:val="20"/>
          <w:szCs w:val="20"/>
        </w:rPr>
        <w:t>: Reducir al 50% de la dosis prediálisis</w:t>
      </w:r>
    </w:p>
    <w:p w:rsidR="00E81B3D" w:rsidRPr="00D27AE3" w:rsidRDefault="00E81B3D" w:rsidP="00D27AE3">
      <w:pPr>
        <w:numPr>
          <w:ilvl w:val="1"/>
          <w:numId w:val="9"/>
        </w:numPr>
        <w:spacing w:before="120" w:after="120"/>
        <w:ind w:left="2127" w:hanging="284"/>
        <w:rPr>
          <w:rFonts w:cs="Arial"/>
          <w:sz w:val="20"/>
          <w:szCs w:val="20"/>
        </w:rPr>
      </w:pPr>
      <w:r w:rsidRPr="0049306A">
        <w:rPr>
          <w:rFonts w:cs="Arial"/>
          <w:sz w:val="20"/>
          <w:szCs w:val="20"/>
        </w:rPr>
        <w:t>Monitorización estrecha</w:t>
      </w:r>
      <w:r w:rsidRPr="00437684">
        <w:rPr>
          <w:rFonts w:cs="Arial"/>
          <w:sz w:val="20"/>
          <w:szCs w:val="20"/>
        </w:rPr>
        <w:t xml:space="preserve"> ( glucemia- visitas)</w:t>
      </w:r>
    </w:p>
    <w:p w:rsidR="00E81B3D" w:rsidRDefault="00E81B3D" w:rsidP="007908A6">
      <w:pPr>
        <w:spacing w:before="120" w:after="120"/>
        <w:ind w:left="1701"/>
        <w:rPr>
          <w:rFonts w:cs="Arial"/>
          <w:sz w:val="20"/>
          <w:szCs w:val="20"/>
        </w:rPr>
      </w:pPr>
      <w:r w:rsidRPr="00437684">
        <w:rPr>
          <w:rFonts w:cs="Arial"/>
          <w:sz w:val="20"/>
          <w:szCs w:val="20"/>
        </w:rPr>
        <w:t>El régimen de insulina se adaptara al objetivo de control y pued</w:t>
      </w:r>
      <w:r>
        <w:rPr>
          <w:rFonts w:cs="Arial"/>
          <w:sz w:val="20"/>
          <w:szCs w:val="20"/>
        </w:rPr>
        <w:t xml:space="preserve">e ser una terapia convencional </w:t>
      </w:r>
      <w:r w:rsidRPr="00437684">
        <w:rPr>
          <w:rFonts w:cs="Arial"/>
          <w:sz w:val="20"/>
          <w:szCs w:val="20"/>
        </w:rPr>
        <w:t>o tratamiento intensivo.</w:t>
      </w:r>
    </w:p>
    <w:p w:rsidR="00651852" w:rsidRDefault="00651852" w:rsidP="007908A6">
      <w:pPr>
        <w:spacing w:before="120" w:after="120"/>
        <w:ind w:left="1701"/>
        <w:rPr>
          <w:rFonts w:cs="Arial"/>
          <w:sz w:val="20"/>
          <w:szCs w:val="20"/>
        </w:rPr>
      </w:pPr>
    </w:p>
    <w:p w:rsidR="00E81B3D" w:rsidRPr="00215D7C" w:rsidRDefault="00E81B3D" w:rsidP="00B62C24">
      <w:pPr>
        <w:pStyle w:val="Ttulo2"/>
        <w:ind w:left="993" w:hanging="426"/>
        <w:rPr>
          <w:rFonts w:ascii="Arial" w:hAnsi="Arial" w:cs="Arial"/>
          <w:i w:val="0"/>
          <w:sz w:val="20"/>
          <w:szCs w:val="20"/>
        </w:rPr>
      </w:pPr>
      <w:bookmarkStart w:id="53" w:name="_Toc341725530"/>
      <w:r w:rsidRPr="00215D7C">
        <w:rPr>
          <w:rFonts w:ascii="Arial" w:hAnsi="Arial" w:cs="Arial"/>
          <w:i w:val="0"/>
          <w:sz w:val="20"/>
          <w:szCs w:val="20"/>
        </w:rPr>
        <w:t>Objetivos y manejo de la dislipemia.</w:t>
      </w:r>
      <w:bookmarkEnd w:id="51"/>
      <w:bookmarkEnd w:id="52"/>
      <w:bookmarkEnd w:id="53"/>
    </w:p>
    <w:p w:rsidR="00E81B3D" w:rsidRDefault="00E81B3D" w:rsidP="003C3D97">
      <w:pPr>
        <w:spacing w:before="120" w:after="120"/>
        <w:ind w:left="993"/>
        <w:rPr>
          <w:rFonts w:cs="Arial"/>
          <w:sz w:val="20"/>
          <w:szCs w:val="20"/>
        </w:rPr>
      </w:pPr>
      <w:r w:rsidRPr="00247C80">
        <w:rPr>
          <w:rFonts w:cs="Arial"/>
          <w:sz w:val="20"/>
          <w:szCs w:val="20"/>
        </w:rPr>
        <w:t>Uno de los factores que empeoran el daño renal y aceleran el deterioro funcional renal</w:t>
      </w:r>
      <w:r>
        <w:rPr>
          <w:rFonts w:cs="Arial"/>
          <w:sz w:val="20"/>
          <w:szCs w:val="20"/>
        </w:rPr>
        <w:t xml:space="preserve"> </w:t>
      </w:r>
      <w:r w:rsidRPr="00247C80">
        <w:rPr>
          <w:rFonts w:cs="Arial"/>
          <w:sz w:val="20"/>
          <w:szCs w:val="20"/>
        </w:rPr>
        <w:t>es la dislipemia, independientemente de s</w:t>
      </w:r>
      <w:r>
        <w:rPr>
          <w:rFonts w:cs="Arial"/>
          <w:sz w:val="20"/>
          <w:szCs w:val="20"/>
        </w:rPr>
        <w:t>u efecto promotor de la arterio</w:t>
      </w:r>
      <w:r w:rsidRPr="00247C80">
        <w:rPr>
          <w:rFonts w:cs="Arial"/>
          <w:sz w:val="20"/>
          <w:szCs w:val="20"/>
        </w:rPr>
        <w:t>esclerosis</w:t>
      </w:r>
      <w:r>
        <w:rPr>
          <w:rFonts w:cs="Arial"/>
          <w:sz w:val="20"/>
          <w:szCs w:val="20"/>
        </w:rPr>
        <w:t>.</w:t>
      </w:r>
    </w:p>
    <w:p w:rsidR="00E81B3D" w:rsidRPr="00DA3051" w:rsidRDefault="00E81B3D" w:rsidP="003C3D97">
      <w:pPr>
        <w:numPr>
          <w:ilvl w:val="0"/>
          <w:numId w:val="2"/>
        </w:numPr>
        <w:spacing w:before="120" w:after="120"/>
        <w:ind w:left="1276" w:hanging="283"/>
        <w:rPr>
          <w:rFonts w:cs="Arial"/>
          <w:b/>
          <w:sz w:val="20"/>
          <w:szCs w:val="20"/>
        </w:rPr>
      </w:pPr>
      <w:r w:rsidRPr="00247C80">
        <w:rPr>
          <w:rFonts w:cs="Arial"/>
          <w:b/>
          <w:sz w:val="20"/>
          <w:szCs w:val="20"/>
        </w:rPr>
        <w:t>Estratificación de riesgo</w:t>
      </w:r>
    </w:p>
    <w:p w:rsidR="00E81B3D" w:rsidRPr="0049306A" w:rsidRDefault="00E81B3D" w:rsidP="003C3D97">
      <w:pPr>
        <w:spacing w:before="120" w:after="120"/>
        <w:ind w:left="1276"/>
        <w:rPr>
          <w:rFonts w:cs="Arial"/>
          <w:sz w:val="20"/>
          <w:szCs w:val="20"/>
        </w:rPr>
      </w:pPr>
      <w:r w:rsidRPr="00247C80">
        <w:rPr>
          <w:rFonts w:cs="Arial"/>
          <w:sz w:val="20"/>
          <w:szCs w:val="20"/>
        </w:rPr>
        <w:t>De acuerdo a las últimas Guías Europeas los sujetos con ERC deben considerarse de</w:t>
      </w:r>
      <w:r>
        <w:rPr>
          <w:rFonts w:cs="Arial"/>
          <w:sz w:val="20"/>
          <w:szCs w:val="20"/>
        </w:rPr>
        <w:t xml:space="preserve"> </w:t>
      </w:r>
      <w:r w:rsidRPr="00247C80">
        <w:rPr>
          <w:rFonts w:cs="Arial"/>
          <w:sz w:val="20"/>
          <w:szCs w:val="20"/>
        </w:rPr>
        <w:t>alto o muy alto riesgo</w:t>
      </w:r>
      <w:r>
        <w:rPr>
          <w:rFonts w:cs="Arial"/>
          <w:sz w:val="20"/>
          <w:szCs w:val="20"/>
        </w:rPr>
        <w:t xml:space="preserve"> </w:t>
      </w:r>
      <w:r w:rsidRPr="00247C80">
        <w:rPr>
          <w:rFonts w:cs="Arial"/>
          <w:sz w:val="20"/>
          <w:szCs w:val="20"/>
        </w:rPr>
        <w:t>cardiovascular, sin requerir aplicar escalas de riesgo. Así, la presencia</w:t>
      </w:r>
      <w:r>
        <w:rPr>
          <w:rFonts w:cs="Arial"/>
          <w:sz w:val="20"/>
          <w:szCs w:val="20"/>
        </w:rPr>
        <w:t xml:space="preserve"> </w:t>
      </w:r>
      <w:r w:rsidRPr="00247C80">
        <w:rPr>
          <w:rFonts w:cs="Arial"/>
          <w:sz w:val="20"/>
          <w:szCs w:val="20"/>
        </w:rPr>
        <w:t xml:space="preserve">de ERC con </w:t>
      </w:r>
      <w:r>
        <w:rPr>
          <w:rFonts w:cs="Arial"/>
          <w:sz w:val="20"/>
          <w:szCs w:val="20"/>
        </w:rPr>
        <w:t>FG&lt; 60 ml/min/1.73 m</w:t>
      </w:r>
      <w:r w:rsidRPr="005B3F59">
        <w:rPr>
          <w:rFonts w:cs="Arial"/>
          <w:sz w:val="20"/>
          <w:szCs w:val="20"/>
          <w:vertAlign w:val="superscript"/>
        </w:rPr>
        <w:t>2</w:t>
      </w:r>
      <w:r w:rsidRPr="00247C80">
        <w:rPr>
          <w:rFonts w:cs="Arial"/>
          <w:sz w:val="20"/>
          <w:szCs w:val="20"/>
        </w:rPr>
        <w:t xml:space="preserve"> clasifica al sujeto como </w:t>
      </w:r>
      <w:r>
        <w:rPr>
          <w:rFonts w:cs="Arial"/>
          <w:sz w:val="20"/>
          <w:szCs w:val="20"/>
        </w:rPr>
        <w:t xml:space="preserve">de </w:t>
      </w:r>
      <w:r w:rsidRPr="00247C80">
        <w:rPr>
          <w:rFonts w:cs="Arial"/>
          <w:sz w:val="20"/>
          <w:szCs w:val="20"/>
        </w:rPr>
        <w:t xml:space="preserve">MUY ALTO RIESGO </w:t>
      </w:r>
      <w:r w:rsidRPr="0049306A">
        <w:rPr>
          <w:rFonts w:cs="Arial"/>
          <w:sz w:val="20"/>
          <w:szCs w:val="20"/>
        </w:rPr>
        <w:t xml:space="preserve">CARDIOVASCULAR </w:t>
      </w:r>
      <w:bookmarkStart w:id="54" w:name="_Ref343111177"/>
      <w:r w:rsidRPr="0049306A">
        <w:rPr>
          <w:rStyle w:val="Refdenotaalfinal"/>
          <w:rFonts w:cs="Arial"/>
          <w:sz w:val="20"/>
          <w:szCs w:val="20"/>
        </w:rPr>
        <w:endnoteReference w:id="108"/>
      </w:r>
      <w:bookmarkEnd w:id="54"/>
      <w:r w:rsidRPr="0049306A">
        <w:rPr>
          <w:rFonts w:cs="Arial"/>
          <w:sz w:val="20"/>
          <w:szCs w:val="20"/>
        </w:rPr>
        <w:t>.</w:t>
      </w:r>
    </w:p>
    <w:p w:rsidR="00E81B3D" w:rsidRPr="0049306A" w:rsidRDefault="00E81B3D" w:rsidP="000529F2">
      <w:pPr>
        <w:spacing w:before="120" w:after="120"/>
        <w:ind w:left="1276"/>
        <w:rPr>
          <w:rFonts w:cs="Arial"/>
          <w:strike/>
          <w:sz w:val="20"/>
          <w:szCs w:val="20"/>
        </w:rPr>
      </w:pPr>
      <w:r w:rsidRPr="0049306A">
        <w:rPr>
          <w:rFonts w:cs="Arial"/>
          <w:sz w:val="20"/>
          <w:szCs w:val="20"/>
        </w:rPr>
        <w:t>Debe realizarse sistemáticamente un despistaje de dislipemia. Aunque la concentración de LDL-colesterol (LDL-c) es el principal predictor de riesgo, la concentración de colesterol No-HDL puede serlo mejor, al igual que ocurre en las personas con DM o síndrome metabólico.</w:t>
      </w:r>
    </w:p>
    <w:p w:rsidR="00E81B3D" w:rsidRPr="00DA3051" w:rsidRDefault="00E81B3D" w:rsidP="003C3D97">
      <w:pPr>
        <w:numPr>
          <w:ilvl w:val="0"/>
          <w:numId w:val="2"/>
        </w:numPr>
        <w:spacing w:before="120" w:after="120"/>
        <w:ind w:left="1276" w:hanging="283"/>
        <w:rPr>
          <w:rFonts w:cs="Arial"/>
          <w:b/>
          <w:sz w:val="20"/>
          <w:szCs w:val="20"/>
        </w:rPr>
      </w:pPr>
      <w:r w:rsidRPr="00247C80">
        <w:rPr>
          <w:rFonts w:cs="Arial"/>
          <w:b/>
          <w:sz w:val="20"/>
          <w:szCs w:val="20"/>
        </w:rPr>
        <w:t>Patrón lipídico en la ERC</w:t>
      </w:r>
    </w:p>
    <w:p w:rsidR="00E81B3D" w:rsidRDefault="00E81B3D" w:rsidP="003C3D97">
      <w:pPr>
        <w:autoSpaceDE w:val="0"/>
        <w:autoSpaceDN w:val="0"/>
        <w:adjustRightInd w:val="0"/>
        <w:ind w:left="1276"/>
        <w:rPr>
          <w:rFonts w:cs="Arial"/>
          <w:sz w:val="20"/>
          <w:szCs w:val="20"/>
        </w:rPr>
      </w:pPr>
      <w:r w:rsidRPr="0049306A">
        <w:rPr>
          <w:rFonts w:cs="Arial"/>
          <w:sz w:val="20"/>
          <w:szCs w:val="20"/>
        </w:rPr>
        <w:t>La ERC se asocia a alteraciones cuantitativas y cualitativas en el patrón lipídico que se acusan a medida que lo hace la severidad de la ERC.</w:t>
      </w:r>
    </w:p>
    <w:p w:rsidR="00E81B3D" w:rsidRPr="0049306A" w:rsidRDefault="00E81B3D" w:rsidP="003C3D97">
      <w:pPr>
        <w:autoSpaceDE w:val="0"/>
        <w:autoSpaceDN w:val="0"/>
        <w:adjustRightInd w:val="0"/>
        <w:ind w:left="1276"/>
        <w:rPr>
          <w:rFonts w:cs="Arial"/>
          <w:sz w:val="20"/>
          <w:szCs w:val="20"/>
        </w:rPr>
      </w:pPr>
    </w:p>
    <w:p w:rsidR="00E81B3D" w:rsidRPr="009A7C55" w:rsidRDefault="00E81B3D" w:rsidP="009A7C55">
      <w:pPr>
        <w:autoSpaceDE w:val="0"/>
        <w:autoSpaceDN w:val="0"/>
        <w:adjustRightInd w:val="0"/>
        <w:ind w:left="1276"/>
        <w:rPr>
          <w:rFonts w:cs="Arial"/>
          <w:sz w:val="20"/>
          <w:szCs w:val="20"/>
        </w:rPr>
      </w:pPr>
      <w:r w:rsidRPr="009A7C55">
        <w:rPr>
          <w:rFonts w:cs="Arial"/>
          <w:sz w:val="20"/>
          <w:szCs w:val="20"/>
        </w:rPr>
        <w:t xml:space="preserve">El patrón lipídico típico consiste en una elevación de la concentración de triglicéridos (TG) con descenso de la del HDL- </w:t>
      </w:r>
      <w:r w:rsidRPr="0021472C">
        <w:rPr>
          <w:rFonts w:cs="Arial"/>
          <w:sz w:val="20"/>
          <w:szCs w:val="20"/>
        </w:rPr>
        <w:t>colesterol, mientras que el</w:t>
      </w:r>
      <w:r>
        <w:rPr>
          <w:rFonts w:cs="Arial"/>
          <w:sz w:val="20"/>
          <w:szCs w:val="20"/>
        </w:rPr>
        <w:t xml:space="preserve"> aumento de la concentración de</w:t>
      </w:r>
      <w:r w:rsidRPr="0021472C">
        <w:rPr>
          <w:rFonts w:cs="Arial"/>
          <w:sz w:val="20"/>
          <w:szCs w:val="20"/>
        </w:rPr>
        <w:t xml:space="preserve"> colesterol y LDL-c es menos marcado en los estadios 1 y 2</w:t>
      </w:r>
      <w:r w:rsidR="00845556">
        <w:rPr>
          <w:rFonts w:cs="Arial"/>
          <w:sz w:val="20"/>
          <w:szCs w:val="20"/>
        </w:rPr>
        <w:t xml:space="preserve">, </w:t>
      </w:r>
      <w:r w:rsidR="00845556" w:rsidRPr="00845556">
        <w:rPr>
          <w:rFonts w:cs="Arial"/>
          <w:sz w:val="20"/>
          <w:szCs w:val="20"/>
        </w:rPr>
        <w:t>excepto en casos de proteinuria acentuada</w:t>
      </w:r>
      <w:r w:rsidRPr="0021472C">
        <w:rPr>
          <w:rFonts w:cs="Arial"/>
          <w:sz w:val="20"/>
          <w:szCs w:val="20"/>
        </w:rPr>
        <w:t xml:space="preserve">. Por lo tanto, la concentración de colesterol no HDL y </w:t>
      </w:r>
      <w:r>
        <w:rPr>
          <w:rFonts w:cs="Arial"/>
          <w:sz w:val="20"/>
          <w:szCs w:val="20"/>
        </w:rPr>
        <w:t xml:space="preserve">la </w:t>
      </w:r>
      <w:r w:rsidRPr="0021472C">
        <w:rPr>
          <w:rFonts w:cs="Arial"/>
          <w:sz w:val="20"/>
          <w:szCs w:val="20"/>
        </w:rPr>
        <w:t>de apo B están elevados: Existe un predominio</w:t>
      </w:r>
      <w:r w:rsidRPr="009A7C55">
        <w:rPr>
          <w:rFonts w:cs="Arial"/>
          <w:sz w:val="20"/>
          <w:szCs w:val="20"/>
        </w:rPr>
        <w:t xml:space="preserve"> de partículas LDL pequeñas y densas, lo que ocasiona un mayor riesgo aterotrombótico.</w:t>
      </w:r>
    </w:p>
    <w:p w:rsidR="00E81B3D" w:rsidRPr="00DA3051" w:rsidRDefault="00E81B3D" w:rsidP="003C3D97">
      <w:pPr>
        <w:numPr>
          <w:ilvl w:val="0"/>
          <w:numId w:val="2"/>
        </w:numPr>
        <w:spacing w:before="120" w:after="120"/>
        <w:ind w:left="1276" w:hanging="283"/>
        <w:rPr>
          <w:rFonts w:cs="Arial"/>
          <w:b/>
          <w:sz w:val="20"/>
          <w:szCs w:val="20"/>
        </w:rPr>
      </w:pPr>
      <w:r w:rsidRPr="00247C80">
        <w:rPr>
          <w:rFonts w:cs="Arial"/>
          <w:b/>
          <w:sz w:val="20"/>
          <w:szCs w:val="20"/>
        </w:rPr>
        <w:t>Evidencias del beneficio de tratar la dislipemia en la ERC</w:t>
      </w:r>
    </w:p>
    <w:p w:rsidR="00E81B3D" w:rsidRPr="00EF278A" w:rsidRDefault="00E81B3D" w:rsidP="003C3D97">
      <w:pPr>
        <w:autoSpaceDE w:val="0"/>
        <w:autoSpaceDN w:val="0"/>
        <w:adjustRightInd w:val="0"/>
        <w:ind w:left="1276"/>
        <w:rPr>
          <w:rFonts w:cs="Arial"/>
          <w:sz w:val="20"/>
          <w:szCs w:val="20"/>
        </w:rPr>
      </w:pPr>
      <w:r w:rsidRPr="00EF278A">
        <w:rPr>
          <w:rFonts w:cs="Arial"/>
          <w:sz w:val="20"/>
          <w:szCs w:val="20"/>
        </w:rPr>
        <w:t>Datos obtenidos de análisis post-hoc apoyan la capacidad de las estatinas de reduci</w:t>
      </w:r>
      <w:r>
        <w:rPr>
          <w:rFonts w:cs="Arial"/>
          <w:sz w:val="20"/>
          <w:szCs w:val="20"/>
        </w:rPr>
        <w:t xml:space="preserve">r las complicaciones </w:t>
      </w:r>
      <w:r w:rsidRPr="00EF278A">
        <w:rPr>
          <w:rFonts w:cs="Arial"/>
          <w:sz w:val="20"/>
          <w:szCs w:val="20"/>
        </w:rPr>
        <w:t>CV en p</w:t>
      </w:r>
      <w:r>
        <w:rPr>
          <w:rFonts w:cs="Arial"/>
          <w:sz w:val="20"/>
          <w:szCs w:val="20"/>
        </w:rPr>
        <w:t xml:space="preserve">acientes con estadios de ERC 2 </w:t>
      </w:r>
      <w:r w:rsidRPr="00EF278A">
        <w:rPr>
          <w:rFonts w:cs="Arial"/>
          <w:sz w:val="20"/>
          <w:szCs w:val="20"/>
        </w:rPr>
        <w:t>y 3.</w:t>
      </w:r>
      <w:r>
        <w:rPr>
          <w:rStyle w:val="Refdenotaalfinal"/>
          <w:sz w:val="20"/>
          <w:szCs w:val="20"/>
        </w:rPr>
        <w:endnoteReference w:id="109"/>
      </w:r>
      <w:r>
        <w:rPr>
          <w:rStyle w:val="Refdenotaalfinal"/>
          <w:sz w:val="20"/>
          <w:szCs w:val="20"/>
        </w:rPr>
        <w:endnoteReference w:id="110"/>
      </w:r>
    </w:p>
    <w:p w:rsidR="00E81B3D" w:rsidRPr="007908A6" w:rsidRDefault="00E81B3D" w:rsidP="007908A6">
      <w:pPr>
        <w:spacing w:before="120" w:after="120"/>
        <w:ind w:left="1276"/>
        <w:rPr>
          <w:rFonts w:cs="Arial"/>
          <w:sz w:val="20"/>
          <w:szCs w:val="20"/>
        </w:rPr>
      </w:pPr>
      <w:r w:rsidRPr="008D4372">
        <w:rPr>
          <w:rFonts w:cs="Arial"/>
          <w:sz w:val="20"/>
          <w:szCs w:val="20"/>
        </w:rPr>
        <w:t xml:space="preserve">Los resultados en estadios 4 y 5, o en hemodiálisis (HD) no son tan claros </w:t>
      </w:r>
      <w:r w:rsidRPr="008D4372">
        <w:rPr>
          <w:rStyle w:val="Refdenotaalfinal"/>
          <w:rFonts w:cs="Arial"/>
          <w:sz w:val="20"/>
          <w:szCs w:val="20"/>
        </w:rPr>
        <w:endnoteReference w:id="111"/>
      </w:r>
      <w:r w:rsidRPr="008D4372">
        <w:rPr>
          <w:rFonts w:cs="Arial"/>
          <w:sz w:val="20"/>
          <w:szCs w:val="20"/>
        </w:rPr>
        <w:t xml:space="preserve"> </w:t>
      </w:r>
      <w:r w:rsidRPr="008D4372">
        <w:rPr>
          <w:rStyle w:val="Refdenotaalfinal"/>
          <w:rFonts w:cs="Arial"/>
          <w:sz w:val="20"/>
          <w:szCs w:val="20"/>
        </w:rPr>
        <w:endnoteReference w:id="112"/>
      </w:r>
      <w:r w:rsidRPr="008D4372">
        <w:rPr>
          <w:rFonts w:cs="Arial"/>
          <w:sz w:val="20"/>
          <w:szCs w:val="20"/>
        </w:rPr>
        <w:t>.</w:t>
      </w:r>
      <w:r w:rsidRPr="008D4372">
        <w:t xml:space="preserve"> </w:t>
      </w:r>
      <w:r w:rsidRPr="008D4372">
        <w:rPr>
          <w:rFonts w:cs="Arial"/>
          <w:sz w:val="20"/>
          <w:szCs w:val="20"/>
        </w:rPr>
        <w:t xml:space="preserve">Sin embargo, en el estudio SHARP se observó una reducción del 17% en los eventos CV en los sujetos con ERC estadios 3, 4 y 5 tratados con simvastatina–ezetimiba vs. placebo </w:t>
      </w:r>
      <w:r w:rsidRPr="008D4372">
        <w:rPr>
          <w:rStyle w:val="Refdenotaalfinal"/>
          <w:rFonts w:cs="Arial"/>
          <w:sz w:val="20"/>
          <w:szCs w:val="20"/>
        </w:rPr>
        <w:endnoteReference w:id="113"/>
      </w:r>
      <w:r w:rsidRPr="008D4372">
        <w:rPr>
          <w:rFonts w:cs="Arial"/>
          <w:sz w:val="20"/>
          <w:szCs w:val="20"/>
        </w:rPr>
        <w:t>. Esta</w:t>
      </w:r>
      <w:r>
        <w:rPr>
          <w:rFonts w:cs="Arial"/>
          <w:sz w:val="20"/>
          <w:szCs w:val="20"/>
        </w:rPr>
        <w:t xml:space="preserve"> reducción no se observó en aquellos pacientes en diálisis.</w:t>
      </w:r>
    </w:p>
    <w:p w:rsidR="00E81B3D" w:rsidRPr="00DA3051" w:rsidRDefault="00E81B3D" w:rsidP="003C3D97">
      <w:pPr>
        <w:numPr>
          <w:ilvl w:val="0"/>
          <w:numId w:val="2"/>
        </w:numPr>
        <w:spacing w:before="120" w:after="120"/>
        <w:ind w:left="1276" w:hanging="283"/>
        <w:rPr>
          <w:rFonts w:cs="Arial"/>
          <w:b/>
          <w:sz w:val="20"/>
          <w:szCs w:val="20"/>
        </w:rPr>
      </w:pPr>
      <w:r w:rsidRPr="00247C80">
        <w:rPr>
          <w:rFonts w:cs="Arial"/>
          <w:b/>
          <w:sz w:val="20"/>
          <w:szCs w:val="20"/>
        </w:rPr>
        <w:t>Recomendaciones sobre estilo de vida</w:t>
      </w:r>
    </w:p>
    <w:p w:rsidR="00E81B3D" w:rsidRPr="0049306A" w:rsidRDefault="00E81B3D" w:rsidP="003C3D97">
      <w:pPr>
        <w:pStyle w:val="Pa7"/>
        <w:spacing w:line="240" w:lineRule="auto"/>
        <w:ind w:left="1276"/>
        <w:jc w:val="both"/>
        <w:rPr>
          <w:rFonts w:ascii="Arial" w:hAnsi="Arial" w:cs="Arial"/>
          <w:sz w:val="20"/>
          <w:szCs w:val="20"/>
        </w:rPr>
      </w:pPr>
      <w:r w:rsidRPr="0049306A">
        <w:rPr>
          <w:rFonts w:ascii="Arial" w:hAnsi="Arial" w:cs="Arial"/>
          <w:sz w:val="20"/>
          <w:szCs w:val="20"/>
        </w:rPr>
        <w:t>La dieta es el determinante principal de los ni</w:t>
      </w:r>
      <w:r w:rsidRPr="0049306A">
        <w:rPr>
          <w:rFonts w:ascii="Arial" w:hAnsi="Arial" w:cs="Arial"/>
          <w:sz w:val="20"/>
          <w:szCs w:val="20"/>
        </w:rPr>
        <w:softHyphen/>
        <w:t xml:space="preserve">veles de la concentración colesterol. El consejo básico, es pues el dietético. Se recomienda que el 30% o menos de las calorías totales procedan de </w:t>
      </w:r>
      <w:r w:rsidRPr="0049306A">
        <w:rPr>
          <w:rFonts w:ascii="Arial" w:hAnsi="Arial" w:cs="Arial"/>
          <w:sz w:val="20"/>
          <w:szCs w:val="20"/>
        </w:rPr>
        <w:lastRenderedPageBreak/>
        <w:t>alimentos grasos y que menos de un 10% sean grasas saturadas. En cuanto al consumo de colesterol, se recomienda que no se consuman más de 300 mg diarios.</w:t>
      </w:r>
    </w:p>
    <w:p w:rsidR="00E81B3D" w:rsidRPr="0049306A" w:rsidRDefault="00E81B3D" w:rsidP="003C3D97">
      <w:pPr>
        <w:spacing w:before="120" w:after="120"/>
        <w:ind w:left="1276"/>
        <w:rPr>
          <w:rFonts w:cs="Arial"/>
          <w:sz w:val="20"/>
          <w:szCs w:val="20"/>
        </w:rPr>
      </w:pPr>
      <w:r w:rsidRPr="0049306A">
        <w:rPr>
          <w:rFonts w:cs="Arial"/>
          <w:sz w:val="20"/>
          <w:szCs w:val="20"/>
        </w:rPr>
        <w:t>Puntos que hay que observar para una alimentación óptima:</w:t>
      </w:r>
    </w:p>
    <w:p w:rsidR="00E81B3D" w:rsidRPr="0049306A" w:rsidRDefault="00E81B3D" w:rsidP="003F020D">
      <w:pPr>
        <w:numPr>
          <w:ilvl w:val="0"/>
          <w:numId w:val="10"/>
        </w:numPr>
        <w:spacing w:before="120" w:after="120"/>
        <w:rPr>
          <w:rFonts w:cs="Arial"/>
          <w:sz w:val="20"/>
          <w:szCs w:val="20"/>
        </w:rPr>
      </w:pPr>
      <w:r w:rsidRPr="0049306A">
        <w:rPr>
          <w:rFonts w:cs="Arial"/>
          <w:sz w:val="20"/>
          <w:szCs w:val="20"/>
        </w:rPr>
        <w:t>Evitar o moderar el consumo de grasas de ori</w:t>
      </w:r>
      <w:r w:rsidRPr="0049306A">
        <w:rPr>
          <w:rFonts w:cs="Arial"/>
          <w:sz w:val="20"/>
          <w:szCs w:val="20"/>
        </w:rPr>
        <w:softHyphen/>
        <w:t>gen animal:</w:t>
      </w:r>
    </w:p>
    <w:p w:rsidR="00E81B3D" w:rsidRPr="0049306A" w:rsidRDefault="00E81B3D" w:rsidP="003F020D">
      <w:pPr>
        <w:numPr>
          <w:ilvl w:val="1"/>
          <w:numId w:val="11"/>
        </w:numPr>
        <w:spacing w:before="120" w:after="120"/>
        <w:ind w:left="2127" w:hanging="284"/>
        <w:rPr>
          <w:rFonts w:cs="Arial"/>
          <w:sz w:val="20"/>
          <w:szCs w:val="20"/>
        </w:rPr>
      </w:pPr>
      <w:r w:rsidRPr="0049306A">
        <w:rPr>
          <w:rFonts w:cs="Arial"/>
          <w:sz w:val="20"/>
          <w:szCs w:val="20"/>
        </w:rPr>
        <w:t xml:space="preserve">Mantequilla, nata, quesos grasos, yogures y leche entera </w:t>
      </w:r>
    </w:p>
    <w:p w:rsidR="00E81B3D" w:rsidRPr="0049306A" w:rsidRDefault="00E81B3D" w:rsidP="003F020D">
      <w:pPr>
        <w:numPr>
          <w:ilvl w:val="1"/>
          <w:numId w:val="11"/>
        </w:numPr>
        <w:spacing w:before="120" w:after="120"/>
        <w:ind w:left="2127" w:hanging="284"/>
        <w:rPr>
          <w:rFonts w:cs="Arial"/>
          <w:sz w:val="20"/>
          <w:szCs w:val="20"/>
        </w:rPr>
      </w:pPr>
      <w:r w:rsidRPr="0049306A">
        <w:rPr>
          <w:rFonts w:cs="Arial"/>
          <w:sz w:val="20"/>
          <w:szCs w:val="20"/>
        </w:rPr>
        <w:t xml:space="preserve">Carnes muy grasas, embutidos </w:t>
      </w:r>
    </w:p>
    <w:p w:rsidR="00E81B3D" w:rsidRPr="0049306A" w:rsidRDefault="00E81B3D" w:rsidP="003F020D">
      <w:pPr>
        <w:numPr>
          <w:ilvl w:val="1"/>
          <w:numId w:val="11"/>
        </w:numPr>
        <w:spacing w:before="120" w:after="120"/>
        <w:ind w:left="2127" w:hanging="284"/>
        <w:rPr>
          <w:rFonts w:cs="Arial"/>
          <w:sz w:val="20"/>
          <w:szCs w:val="20"/>
        </w:rPr>
      </w:pPr>
      <w:r w:rsidRPr="0049306A">
        <w:rPr>
          <w:rFonts w:cs="Arial"/>
          <w:sz w:val="20"/>
          <w:szCs w:val="20"/>
        </w:rPr>
        <w:t xml:space="preserve">Vísceras (sesos, hígado, riñones, lengua) </w:t>
      </w:r>
    </w:p>
    <w:p w:rsidR="00E81B3D" w:rsidRPr="0049306A" w:rsidRDefault="00E81B3D" w:rsidP="003F020D">
      <w:pPr>
        <w:numPr>
          <w:ilvl w:val="1"/>
          <w:numId w:val="11"/>
        </w:numPr>
        <w:spacing w:before="120" w:after="120"/>
        <w:ind w:left="2127" w:hanging="284"/>
        <w:rPr>
          <w:rFonts w:cs="Arial"/>
          <w:sz w:val="20"/>
          <w:szCs w:val="20"/>
        </w:rPr>
      </w:pPr>
      <w:r w:rsidRPr="0049306A">
        <w:rPr>
          <w:rFonts w:cs="Arial"/>
          <w:sz w:val="20"/>
          <w:szCs w:val="20"/>
        </w:rPr>
        <w:t xml:space="preserve">Raciones de carne abundantes </w:t>
      </w:r>
    </w:p>
    <w:p w:rsidR="00E81B3D" w:rsidRPr="0049306A" w:rsidRDefault="00E81B3D" w:rsidP="003F020D">
      <w:pPr>
        <w:numPr>
          <w:ilvl w:val="1"/>
          <w:numId w:val="11"/>
        </w:numPr>
        <w:spacing w:before="120" w:after="120"/>
        <w:ind w:left="2127" w:hanging="284"/>
        <w:rPr>
          <w:rFonts w:cs="Arial"/>
          <w:sz w:val="20"/>
          <w:szCs w:val="20"/>
        </w:rPr>
      </w:pPr>
      <w:r w:rsidRPr="0049306A">
        <w:rPr>
          <w:rFonts w:cs="Arial"/>
          <w:sz w:val="20"/>
          <w:szCs w:val="20"/>
        </w:rPr>
        <w:t>Bollería y pastelería</w:t>
      </w:r>
    </w:p>
    <w:p w:rsidR="00E81B3D" w:rsidRPr="0049306A" w:rsidRDefault="00E81B3D" w:rsidP="003F020D">
      <w:pPr>
        <w:numPr>
          <w:ilvl w:val="0"/>
          <w:numId w:val="10"/>
        </w:numPr>
        <w:spacing w:before="120" w:after="120"/>
        <w:rPr>
          <w:rFonts w:cs="Arial"/>
          <w:sz w:val="20"/>
          <w:szCs w:val="20"/>
        </w:rPr>
      </w:pPr>
      <w:r w:rsidRPr="0049306A">
        <w:rPr>
          <w:rFonts w:cs="Arial"/>
          <w:sz w:val="20"/>
          <w:szCs w:val="20"/>
        </w:rPr>
        <w:t xml:space="preserve">Comer más pescado. </w:t>
      </w:r>
    </w:p>
    <w:p w:rsidR="00E81B3D" w:rsidRPr="00CE3260" w:rsidRDefault="00E81B3D" w:rsidP="003F020D">
      <w:pPr>
        <w:numPr>
          <w:ilvl w:val="0"/>
          <w:numId w:val="10"/>
        </w:numPr>
        <w:spacing w:before="120" w:after="120"/>
        <w:rPr>
          <w:rFonts w:cs="Arial"/>
          <w:sz w:val="20"/>
          <w:szCs w:val="20"/>
        </w:rPr>
      </w:pPr>
      <w:r w:rsidRPr="0049306A">
        <w:rPr>
          <w:rFonts w:cs="Arial"/>
          <w:sz w:val="20"/>
          <w:szCs w:val="20"/>
        </w:rPr>
        <w:t xml:space="preserve">Limitar el </w:t>
      </w:r>
      <w:r w:rsidRPr="00CE3260">
        <w:rPr>
          <w:rFonts w:cs="Arial"/>
          <w:sz w:val="20"/>
          <w:szCs w:val="20"/>
        </w:rPr>
        <w:t xml:space="preserve">consumo de huevos a un máximo de 3 a la semana. </w:t>
      </w:r>
    </w:p>
    <w:p w:rsidR="00E81B3D" w:rsidRPr="009A7C55" w:rsidRDefault="00E81B3D" w:rsidP="009A7C55">
      <w:pPr>
        <w:numPr>
          <w:ilvl w:val="0"/>
          <w:numId w:val="10"/>
        </w:numPr>
        <w:spacing w:before="120" w:after="120"/>
        <w:rPr>
          <w:rFonts w:cs="Arial"/>
          <w:sz w:val="20"/>
          <w:szCs w:val="20"/>
        </w:rPr>
      </w:pPr>
      <w:r w:rsidRPr="00CE3260">
        <w:rPr>
          <w:rFonts w:cs="Arial"/>
          <w:sz w:val="20"/>
          <w:szCs w:val="20"/>
        </w:rPr>
        <w:t xml:space="preserve">Comer </w:t>
      </w:r>
      <w:r w:rsidRPr="009A7C55">
        <w:rPr>
          <w:rFonts w:cs="Arial"/>
          <w:sz w:val="20"/>
          <w:szCs w:val="20"/>
        </w:rPr>
        <w:t>diariamente verdura y frutas, nueces y otros frutos secos, cereales y/o legumbres., - siempre bajo vigilancia de la concentración sérica de potasio.</w:t>
      </w:r>
      <w:r w:rsidRPr="00CE3260">
        <w:rPr>
          <w:rFonts w:cs="Arial"/>
          <w:sz w:val="20"/>
          <w:szCs w:val="20"/>
        </w:rPr>
        <w:t xml:space="preserve"> </w:t>
      </w:r>
    </w:p>
    <w:p w:rsidR="00E81B3D" w:rsidRPr="0049306A" w:rsidRDefault="00E81B3D" w:rsidP="003F020D">
      <w:pPr>
        <w:numPr>
          <w:ilvl w:val="0"/>
          <w:numId w:val="10"/>
        </w:numPr>
        <w:spacing w:before="120" w:after="120"/>
        <w:rPr>
          <w:rFonts w:cs="Arial"/>
          <w:sz w:val="20"/>
          <w:szCs w:val="20"/>
        </w:rPr>
      </w:pPr>
      <w:r w:rsidRPr="0049306A">
        <w:rPr>
          <w:rFonts w:cs="Arial"/>
          <w:sz w:val="20"/>
          <w:szCs w:val="20"/>
        </w:rPr>
        <w:t xml:space="preserve">Utilizar preferentemente aceite de oliva y evitar grasas, mantequillas, cremas de leche. </w:t>
      </w:r>
    </w:p>
    <w:p w:rsidR="00E81B3D" w:rsidRPr="0049306A" w:rsidRDefault="00E81B3D" w:rsidP="003F020D">
      <w:pPr>
        <w:numPr>
          <w:ilvl w:val="0"/>
          <w:numId w:val="10"/>
        </w:numPr>
        <w:spacing w:before="120" w:after="120"/>
        <w:rPr>
          <w:rFonts w:cs="Arial"/>
          <w:sz w:val="20"/>
          <w:szCs w:val="20"/>
        </w:rPr>
      </w:pPr>
      <w:r w:rsidRPr="0049306A">
        <w:rPr>
          <w:rFonts w:cs="Arial"/>
          <w:sz w:val="20"/>
          <w:szCs w:val="20"/>
        </w:rPr>
        <w:t>También es importante hacer ejercicio físico aeróbico de una intensidad moderada. Como mínimo se aconseja caminar 30 minutos al día</w:t>
      </w:r>
    </w:p>
    <w:p w:rsidR="00E81B3D" w:rsidRPr="00DA3051" w:rsidRDefault="00E81B3D" w:rsidP="00C67B7D">
      <w:pPr>
        <w:numPr>
          <w:ilvl w:val="0"/>
          <w:numId w:val="2"/>
        </w:numPr>
        <w:spacing w:before="120" w:after="120"/>
        <w:ind w:left="1276" w:hanging="283"/>
        <w:rPr>
          <w:rFonts w:cs="Arial"/>
          <w:b/>
          <w:sz w:val="20"/>
          <w:szCs w:val="20"/>
        </w:rPr>
      </w:pPr>
      <w:r>
        <w:rPr>
          <w:rFonts w:cs="Arial"/>
          <w:b/>
          <w:sz w:val="20"/>
          <w:szCs w:val="20"/>
        </w:rPr>
        <w:t>Fármacos hipolipemiantes y</w:t>
      </w:r>
      <w:r w:rsidRPr="00C67B7D">
        <w:rPr>
          <w:rFonts w:cs="Arial"/>
          <w:b/>
          <w:sz w:val="20"/>
          <w:szCs w:val="20"/>
        </w:rPr>
        <w:t xml:space="preserve"> ERC</w:t>
      </w:r>
    </w:p>
    <w:p w:rsidR="00E81B3D" w:rsidRPr="00CE3260" w:rsidRDefault="00E81B3D" w:rsidP="00C67B7D">
      <w:pPr>
        <w:spacing w:before="120" w:after="120"/>
        <w:ind w:left="1276"/>
        <w:rPr>
          <w:rFonts w:cs="Arial"/>
          <w:b/>
          <w:sz w:val="20"/>
          <w:szCs w:val="20"/>
        </w:rPr>
      </w:pPr>
      <w:r w:rsidRPr="00C352B1">
        <w:rPr>
          <w:rFonts w:cs="Arial"/>
          <w:b/>
          <w:sz w:val="20"/>
          <w:szCs w:val="20"/>
        </w:rPr>
        <w:t>Estatinas</w:t>
      </w:r>
    </w:p>
    <w:p w:rsidR="007908A6" w:rsidRDefault="00E81B3D" w:rsidP="007908A6">
      <w:pPr>
        <w:spacing w:before="120" w:after="120"/>
        <w:ind w:left="1276"/>
        <w:rPr>
          <w:rFonts w:cs="Arial"/>
          <w:sz w:val="20"/>
          <w:szCs w:val="20"/>
        </w:rPr>
      </w:pPr>
      <w:r w:rsidRPr="00CE3260">
        <w:rPr>
          <w:rFonts w:cs="Arial"/>
          <w:sz w:val="20"/>
          <w:szCs w:val="20"/>
        </w:rPr>
        <w:t>Las estatinas son el tratamiento de elección. No requieren ajuste de dosis, salvo en casos de ERC en estadios muy avanzados (3-5), y solamente para aquellas de eliminación renal. En estos casos son preferibles aquellas con menor excreción renal (atorvastatina, fluvastatina y pitavastatina). Igualmente debe modificarse la dosis en trasplantados renales y tener en cuenta las posibles interacciones farmacológicas con los  inmunosupresores. La ERC al igual que la edad avanzada, el sexo femenino, IMC bajo, disfunción hepática, consumo</w:t>
      </w:r>
      <w:r w:rsidRPr="00C352B1">
        <w:rPr>
          <w:rFonts w:cs="Arial"/>
          <w:sz w:val="20"/>
          <w:szCs w:val="20"/>
        </w:rPr>
        <w:t xml:space="preserve"> de alcohol, enfermedades sistémicas e hipotiroidismo, aumentan el riesgo de efectos secundarios, que por otro lado no son frecuentes.</w:t>
      </w:r>
    </w:p>
    <w:p w:rsidR="00E81B3D" w:rsidRPr="00445FDC" w:rsidRDefault="00E81B3D" w:rsidP="007908A6">
      <w:pPr>
        <w:spacing w:before="120" w:after="120"/>
        <w:ind w:left="1276"/>
        <w:rPr>
          <w:rFonts w:cs="Arial"/>
          <w:sz w:val="20"/>
          <w:szCs w:val="20"/>
        </w:rPr>
      </w:pPr>
      <w:r w:rsidRPr="00445FDC">
        <w:rPr>
          <w:rFonts w:cs="Arial"/>
          <w:sz w:val="20"/>
          <w:szCs w:val="20"/>
        </w:rPr>
        <w:t>Los fármacos de eliminación hepática serian de elección (fluvastatina, atorvasta</w:t>
      </w:r>
      <w:r>
        <w:rPr>
          <w:rFonts w:cs="Arial"/>
          <w:sz w:val="20"/>
          <w:szCs w:val="20"/>
        </w:rPr>
        <w:t>tina, pitavastatina</w:t>
      </w:r>
      <w:r w:rsidRPr="00445FDC">
        <w:rPr>
          <w:rFonts w:cs="Arial"/>
          <w:sz w:val="20"/>
          <w:szCs w:val="20"/>
        </w:rPr>
        <w:t>). Las estatinas metabolizadas vía CYP3A4 (Atorvastatina, lovastatina, simvastatina) o CYP2C9 (rosuvastatina) pueden aumentar los efectos secundarios por potenciar las interacciones farmacológicas, cuando se administran con determinados fármacos inductores o inhibidores.</w:t>
      </w:r>
    </w:p>
    <w:p w:rsidR="00E81B3D" w:rsidRPr="00DA3051" w:rsidRDefault="00E81B3D" w:rsidP="001C0670">
      <w:pPr>
        <w:spacing w:before="120" w:after="120"/>
        <w:ind w:left="1276"/>
        <w:rPr>
          <w:rFonts w:cs="Arial"/>
          <w:b/>
          <w:sz w:val="20"/>
          <w:szCs w:val="20"/>
        </w:rPr>
      </w:pPr>
      <w:r w:rsidRPr="00EF278A">
        <w:rPr>
          <w:rStyle w:val="A13"/>
          <w:rFonts w:cs="Arial"/>
          <w:bCs/>
          <w:sz w:val="20"/>
          <w:szCs w:val="20"/>
        </w:rPr>
        <w:t>Fibratos</w:t>
      </w:r>
    </w:p>
    <w:p w:rsidR="00E81B3D" w:rsidRPr="00C352B1" w:rsidRDefault="00E81B3D" w:rsidP="001C0670">
      <w:pPr>
        <w:spacing w:before="120" w:after="120"/>
        <w:ind w:left="1276"/>
        <w:rPr>
          <w:rFonts w:cs="Arial"/>
          <w:sz w:val="20"/>
          <w:szCs w:val="20"/>
        </w:rPr>
      </w:pPr>
      <w:r w:rsidRPr="00C352B1">
        <w:rPr>
          <w:rFonts w:cs="Arial"/>
          <w:sz w:val="20"/>
          <w:szCs w:val="20"/>
        </w:rPr>
        <w:t xml:space="preserve">El riesgo de miopatía se incrementa en más de 5 veces al asociarse a estatina, y es mayor en caso de ERC. </w:t>
      </w:r>
      <w:r>
        <w:rPr>
          <w:rFonts w:cs="Arial"/>
          <w:sz w:val="20"/>
          <w:szCs w:val="20"/>
        </w:rPr>
        <w:t>Además, l</w:t>
      </w:r>
      <w:r w:rsidRPr="00C352B1">
        <w:rPr>
          <w:rFonts w:cs="Arial"/>
          <w:sz w:val="20"/>
          <w:szCs w:val="20"/>
        </w:rPr>
        <w:t>a asociación con estatinas puede provocar fracaso renal agudo por rabdomiolisis. En caso de requerirse la asociación debe utilizarse fenofibrato y realizar una estrecha monitorización.</w:t>
      </w:r>
      <w:r>
        <w:rPr>
          <w:rFonts w:cs="Arial"/>
          <w:sz w:val="20"/>
          <w:szCs w:val="20"/>
        </w:rPr>
        <w:t xml:space="preserve"> En pacientes con FG &lt;60</w:t>
      </w:r>
      <w:r w:rsidRPr="0077607B">
        <w:rPr>
          <w:rFonts w:cs="Arial"/>
          <w:sz w:val="20"/>
          <w:szCs w:val="20"/>
        </w:rPr>
        <w:t xml:space="preserve"> </w:t>
      </w:r>
      <w:r w:rsidRPr="00C352B1">
        <w:rPr>
          <w:rFonts w:cs="Arial"/>
          <w:sz w:val="20"/>
          <w:szCs w:val="20"/>
        </w:rPr>
        <w:t>ml/min/1,73m</w:t>
      </w:r>
      <w:r w:rsidRPr="00C352B1">
        <w:rPr>
          <w:rFonts w:cs="Arial"/>
          <w:sz w:val="20"/>
          <w:szCs w:val="20"/>
          <w:vertAlign w:val="superscript"/>
        </w:rPr>
        <w:t>2</w:t>
      </w:r>
      <w:r>
        <w:rPr>
          <w:rFonts w:cs="Arial"/>
          <w:sz w:val="20"/>
          <w:szCs w:val="20"/>
        </w:rPr>
        <w:t>, la dosis de fenofibrato debe reducirse a la mitad. No se aconseja utilizar fenofibrato si el FG &lt;50</w:t>
      </w:r>
      <w:r w:rsidRPr="0077607B">
        <w:rPr>
          <w:rFonts w:cs="Arial"/>
          <w:sz w:val="20"/>
          <w:szCs w:val="20"/>
        </w:rPr>
        <w:t xml:space="preserve"> </w:t>
      </w:r>
      <w:r w:rsidRPr="00C352B1">
        <w:rPr>
          <w:rFonts w:cs="Arial"/>
          <w:sz w:val="20"/>
          <w:szCs w:val="20"/>
        </w:rPr>
        <w:t>ml/min/1,73m</w:t>
      </w:r>
      <w:r w:rsidRPr="00C352B1">
        <w:rPr>
          <w:rFonts w:cs="Arial"/>
          <w:sz w:val="20"/>
          <w:szCs w:val="20"/>
          <w:vertAlign w:val="superscript"/>
        </w:rPr>
        <w:t>2</w:t>
      </w:r>
      <w:r>
        <w:rPr>
          <w:rFonts w:cs="Arial"/>
          <w:sz w:val="20"/>
          <w:szCs w:val="20"/>
        </w:rPr>
        <w:t>.</w:t>
      </w:r>
      <w:r w:rsidRPr="00C352B1">
        <w:rPr>
          <w:rFonts w:cs="Arial"/>
          <w:sz w:val="20"/>
          <w:szCs w:val="20"/>
        </w:rPr>
        <w:t xml:space="preserve"> </w:t>
      </w:r>
      <w:r>
        <w:rPr>
          <w:rFonts w:cs="Arial"/>
          <w:sz w:val="20"/>
          <w:szCs w:val="20"/>
        </w:rPr>
        <w:t xml:space="preserve">Para pacientes en monoterapia hipolipemiante, se aconseja gemfibrozilo. </w:t>
      </w:r>
      <w:r w:rsidRPr="00C352B1">
        <w:rPr>
          <w:rFonts w:cs="Arial"/>
          <w:sz w:val="20"/>
          <w:szCs w:val="20"/>
        </w:rPr>
        <w:t>L</w:t>
      </w:r>
      <w:r>
        <w:rPr>
          <w:rFonts w:cs="Arial"/>
          <w:sz w:val="20"/>
          <w:szCs w:val="20"/>
        </w:rPr>
        <w:t>a dosis habitual</w:t>
      </w:r>
      <w:r w:rsidRPr="00C352B1">
        <w:rPr>
          <w:rFonts w:cs="Arial"/>
          <w:sz w:val="20"/>
          <w:szCs w:val="20"/>
        </w:rPr>
        <w:t xml:space="preserve"> es de 600 mg/día, puede utilizarse en pacientes con FG entre 15-59 ml/min/1,73m</w:t>
      </w:r>
      <w:r w:rsidRPr="00C352B1">
        <w:rPr>
          <w:rFonts w:cs="Arial"/>
          <w:sz w:val="20"/>
          <w:szCs w:val="20"/>
          <w:vertAlign w:val="superscript"/>
        </w:rPr>
        <w:t>2</w:t>
      </w:r>
      <w:r>
        <w:rPr>
          <w:rFonts w:cs="Arial"/>
          <w:sz w:val="20"/>
          <w:szCs w:val="20"/>
        </w:rPr>
        <w:t>, y s</w:t>
      </w:r>
      <w:r w:rsidRPr="00C352B1">
        <w:rPr>
          <w:rFonts w:cs="Arial"/>
          <w:sz w:val="20"/>
          <w:szCs w:val="20"/>
        </w:rPr>
        <w:t>e desaconseja su uso si el FG es &lt; 15 ml/min/1,73m</w:t>
      </w:r>
      <w:r w:rsidRPr="00C352B1">
        <w:rPr>
          <w:rFonts w:cs="Arial"/>
          <w:sz w:val="20"/>
          <w:szCs w:val="20"/>
          <w:vertAlign w:val="superscript"/>
        </w:rPr>
        <w:t>2</w:t>
      </w:r>
      <w:r w:rsidRPr="00C352B1">
        <w:rPr>
          <w:rFonts w:cs="Arial"/>
          <w:sz w:val="20"/>
          <w:szCs w:val="20"/>
        </w:rPr>
        <w:t>.</w:t>
      </w:r>
    </w:p>
    <w:p w:rsidR="00E81B3D" w:rsidRPr="00DA3051" w:rsidRDefault="00E81B3D" w:rsidP="00C67B7D">
      <w:pPr>
        <w:spacing w:before="120" w:after="120"/>
        <w:ind w:left="1276"/>
        <w:rPr>
          <w:rFonts w:cs="Arial"/>
          <w:b/>
          <w:sz w:val="20"/>
          <w:szCs w:val="20"/>
        </w:rPr>
      </w:pPr>
      <w:r w:rsidRPr="00EF278A">
        <w:rPr>
          <w:rFonts w:cs="Arial"/>
          <w:b/>
          <w:sz w:val="20"/>
          <w:szCs w:val="20"/>
        </w:rPr>
        <w:t>Ezetimiba</w:t>
      </w:r>
    </w:p>
    <w:p w:rsidR="00E81B3D" w:rsidRPr="00445FDC" w:rsidRDefault="00E81B3D" w:rsidP="00D340CD">
      <w:pPr>
        <w:spacing w:before="120" w:after="120"/>
        <w:ind w:left="1276"/>
        <w:rPr>
          <w:rFonts w:cs="Arial"/>
          <w:sz w:val="20"/>
          <w:szCs w:val="20"/>
        </w:rPr>
      </w:pPr>
      <w:r w:rsidRPr="00DC7FC7">
        <w:rPr>
          <w:rFonts w:cs="Arial"/>
          <w:sz w:val="20"/>
          <w:szCs w:val="20"/>
        </w:rPr>
        <w:t>Su eficacia junto a simvastatina ha sido demostrada en pacientes con ERC en el Study of Heart and Renal Protection (SHARP)</w:t>
      </w:r>
      <w:r w:rsidRPr="00C67B7D">
        <w:rPr>
          <w:rFonts w:cs="Arial"/>
          <w:sz w:val="20"/>
          <w:szCs w:val="20"/>
        </w:rPr>
        <w:t xml:space="preserve">. No se requiere ajuste de dosis </w:t>
      </w:r>
      <w:r w:rsidRPr="00445FDC">
        <w:rPr>
          <w:rFonts w:cs="Arial"/>
          <w:sz w:val="20"/>
          <w:szCs w:val="20"/>
        </w:rPr>
        <w:t>en insuficiencia renal.</w:t>
      </w:r>
    </w:p>
    <w:p w:rsidR="00E81B3D" w:rsidRPr="00445FDC" w:rsidRDefault="00E81B3D" w:rsidP="00C67B7D">
      <w:pPr>
        <w:numPr>
          <w:ilvl w:val="0"/>
          <w:numId w:val="2"/>
        </w:numPr>
        <w:spacing w:before="120" w:after="120"/>
        <w:ind w:left="1276" w:hanging="283"/>
        <w:rPr>
          <w:rFonts w:cs="Arial"/>
          <w:b/>
          <w:sz w:val="20"/>
          <w:szCs w:val="20"/>
        </w:rPr>
      </w:pPr>
      <w:r w:rsidRPr="00445FDC">
        <w:rPr>
          <w:rFonts w:cs="Arial"/>
          <w:b/>
          <w:sz w:val="20"/>
          <w:szCs w:val="20"/>
        </w:rPr>
        <w:t>Objetivos de control</w:t>
      </w:r>
    </w:p>
    <w:p w:rsidR="00E81B3D" w:rsidRPr="00445FDC" w:rsidRDefault="00E81B3D" w:rsidP="000529F2">
      <w:pPr>
        <w:autoSpaceDE w:val="0"/>
        <w:autoSpaceDN w:val="0"/>
        <w:adjustRightInd w:val="0"/>
        <w:ind w:left="1276"/>
        <w:rPr>
          <w:rFonts w:cs="Arial"/>
          <w:sz w:val="20"/>
          <w:szCs w:val="20"/>
        </w:rPr>
      </w:pPr>
      <w:r w:rsidRPr="00445FDC">
        <w:rPr>
          <w:rFonts w:cs="Arial"/>
          <w:sz w:val="20"/>
          <w:szCs w:val="20"/>
        </w:rPr>
        <w:t xml:space="preserve">La ERC es un equivalente coronario, siendo por lo tanto, los objetivos los mismos que en un paciente con cardiopatía isquémica. </w:t>
      </w:r>
    </w:p>
    <w:p w:rsidR="00E81B3D" w:rsidRPr="00C352B1" w:rsidRDefault="00E81B3D" w:rsidP="000529F2">
      <w:pPr>
        <w:autoSpaceDE w:val="0"/>
        <w:autoSpaceDN w:val="0"/>
        <w:adjustRightInd w:val="0"/>
        <w:ind w:left="1276"/>
        <w:rPr>
          <w:rFonts w:cs="Arial"/>
          <w:sz w:val="20"/>
          <w:szCs w:val="20"/>
        </w:rPr>
      </w:pPr>
      <w:r w:rsidRPr="00C352B1">
        <w:rPr>
          <w:rFonts w:cs="Arial"/>
          <w:sz w:val="20"/>
          <w:szCs w:val="20"/>
        </w:rPr>
        <w:t>Aunque el primer objetivo terapéutico es el descenso de la concentración de LDL-c, el segundo es el del colesterol no-HDL en el manejo de la dislipemia mixta.</w:t>
      </w:r>
    </w:p>
    <w:p w:rsidR="00E81B3D" w:rsidRPr="00C352B1" w:rsidRDefault="00E81B3D" w:rsidP="000529F2">
      <w:pPr>
        <w:spacing w:before="120" w:after="120"/>
        <w:ind w:left="1276"/>
        <w:rPr>
          <w:rFonts w:cs="Arial"/>
          <w:sz w:val="20"/>
          <w:szCs w:val="20"/>
        </w:rPr>
      </w:pPr>
      <w:r w:rsidRPr="00C352B1">
        <w:rPr>
          <w:rFonts w:cs="Arial"/>
          <w:sz w:val="20"/>
          <w:szCs w:val="20"/>
        </w:rPr>
        <w:t>El objetivo terapéutico en el paciente con ERC (FG &lt; 60 ml/min/1,73m</w:t>
      </w:r>
      <w:r w:rsidRPr="00C352B1">
        <w:rPr>
          <w:rFonts w:cs="Arial"/>
          <w:sz w:val="20"/>
          <w:szCs w:val="20"/>
          <w:vertAlign w:val="superscript"/>
        </w:rPr>
        <w:t>2</w:t>
      </w:r>
      <w:r w:rsidRPr="00C352B1">
        <w:rPr>
          <w:rFonts w:cs="Arial"/>
          <w:sz w:val="20"/>
          <w:szCs w:val="20"/>
        </w:rPr>
        <w:t>) es conseguir una concentración de LDL &lt; 70 mg/dl o una reducción del 50% si el objetivo previo no es alcanzable</w:t>
      </w:r>
      <w:fldSimple w:instr=" NOTEREF _Ref343111177 \h  \* MERGEFORMAT ">
        <w:r w:rsidR="00852CBE" w:rsidRPr="00852CBE">
          <w:rPr>
            <w:rFonts w:cs="Arial"/>
            <w:sz w:val="20"/>
            <w:szCs w:val="20"/>
            <w:vertAlign w:val="superscript"/>
          </w:rPr>
          <w:t>107</w:t>
        </w:r>
      </w:fldSimple>
      <w:r w:rsidRPr="00C352B1">
        <w:rPr>
          <w:rFonts w:cs="Arial"/>
          <w:sz w:val="20"/>
          <w:szCs w:val="20"/>
        </w:rPr>
        <w:t>.</w:t>
      </w:r>
    </w:p>
    <w:p w:rsidR="00E81B3D" w:rsidRPr="00C352B1" w:rsidRDefault="00E81B3D" w:rsidP="00D340CD">
      <w:pPr>
        <w:spacing w:before="120" w:after="120"/>
        <w:ind w:left="1276"/>
        <w:rPr>
          <w:rFonts w:cs="Arial"/>
          <w:sz w:val="20"/>
          <w:szCs w:val="20"/>
        </w:rPr>
      </w:pPr>
      <w:r w:rsidRPr="00C352B1">
        <w:rPr>
          <w:rFonts w:cs="Arial"/>
          <w:sz w:val="20"/>
          <w:szCs w:val="20"/>
        </w:rPr>
        <w:lastRenderedPageBreak/>
        <w:t>El fármaco de elección es la estatina, sola o asociada a ezetimiba. El uso de ácidos grasos omega-3 es una alternativa para el tratamiento de la hipertrigliceridemia.</w:t>
      </w:r>
    </w:p>
    <w:p w:rsidR="00E81B3D" w:rsidRPr="00C352B1" w:rsidRDefault="00E81B3D" w:rsidP="00D340CD">
      <w:pPr>
        <w:spacing w:before="120" w:after="120"/>
        <w:ind w:left="1276"/>
        <w:rPr>
          <w:rFonts w:cs="Arial"/>
          <w:sz w:val="20"/>
          <w:szCs w:val="20"/>
        </w:rPr>
      </w:pPr>
      <w:r w:rsidRPr="00C352B1">
        <w:rPr>
          <w:rFonts w:cs="Arial"/>
          <w:sz w:val="20"/>
          <w:szCs w:val="20"/>
        </w:rPr>
        <w:t>En lo</w:t>
      </w:r>
      <w:r>
        <w:rPr>
          <w:rFonts w:cs="Arial"/>
          <w:sz w:val="20"/>
          <w:szCs w:val="20"/>
        </w:rPr>
        <w:t xml:space="preserve">s pacientes con DM tipo 1, </w:t>
      </w:r>
      <w:r w:rsidRPr="00C352B1">
        <w:rPr>
          <w:rFonts w:cs="Arial"/>
          <w:sz w:val="20"/>
          <w:szCs w:val="20"/>
        </w:rPr>
        <w:t>albuminuria y enfermedad renal debe administrarse una estatina, independientemente del nivel de partida del LDL-c para reducirlo al menos en un 30%, y eventualmente con terapia de combinación.</w:t>
      </w:r>
    </w:p>
    <w:p w:rsidR="00E81B3D" w:rsidRDefault="00E81B3D" w:rsidP="00D340CD">
      <w:pPr>
        <w:spacing w:before="120" w:after="120"/>
        <w:ind w:left="1276"/>
        <w:rPr>
          <w:rFonts w:cs="Arial"/>
          <w:sz w:val="20"/>
          <w:szCs w:val="20"/>
        </w:rPr>
      </w:pPr>
      <w:r w:rsidRPr="00C352B1">
        <w:rPr>
          <w:rFonts w:cs="Arial"/>
          <w:sz w:val="20"/>
          <w:szCs w:val="20"/>
        </w:rPr>
        <w:t>Las recomendaciones para el tratamiento de la dislipemia en ERC en estadio 2-4 se muestran en la tabla tomada de las Guías Europeas para el tratamiento de las dislipemias</w:t>
      </w:r>
      <w:r w:rsidRPr="00C67B7D">
        <w:rPr>
          <w:rFonts w:cs="Arial"/>
          <w:sz w:val="20"/>
          <w:szCs w:val="20"/>
        </w:rPr>
        <w:t>.</w:t>
      </w:r>
    </w:p>
    <w:p w:rsidR="00E81B3D" w:rsidRDefault="00E81B3D" w:rsidP="00AE4C8D">
      <w:pPr>
        <w:spacing w:before="120" w:after="120"/>
        <w:ind w:left="993"/>
        <w:rPr>
          <w:rFonts w:cs="Arial"/>
          <w:b/>
          <w:sz w:val="18"/>
          <w:szCs w:val="18"/>
        </w:rPr>
      </w:pPr>
    </w:p>
    <w:p w:rsidR="00E81B3D" w:rsidRPr="00AE4C8D" w:rsidRDefault="00E81B3D" w:rsidP="00904912">
      <w:pPr>
        <w:spacing w:before="120" w:after="120"/>
        <w:ind w:left="993"/>
        <w:jc w:val="left"/>
      </w:pPr>
      <w:r>
        <w:rPr>
          <w:rFonts w:cs="Arial"/>
          <w:b/>
          <w:sz w:val="18"/>
          <w:szCs w:val="18"/>
        </w:rPr>
        <w:t>Tabla 11</w:t>
      </w:r>
      <w:r w:rsidRPr="005F7768">
        <w:rPr>
          <w:rFonts w:cs="Arial"/>
          <w:b/>
          <w:sz w:val="18"/>
          <w:szCs w:val="18"/>
        </w:rPr>
        <w:t xml:space="preserve">. </w:t>
      </w:r>
      <w:r w:rsidRPr="00AE4C8D">
        <w:rPr>
          <w:rFonts w:cs="Arial"/>
          <w:b/>
          <w:sz w:val="18"/>
          <w:szCs w:val="18"/>
        </w:rPr>
        <w:t>RECOMENDACIONES PARA FÁRMACOS HIPOLIPEMIANTES EN PACIENTES CON ENFERMEDAD RENAL CRÓNICA MODERADA A SEVERA (ESTADIOS 2-4 (</w:t>
      </w:r>
      <w:r w:rsidRPr="00C352B1">
        <w:rPr>
          <w:rFonts w:cs="Arial"/>
          <w:b/>
          <w:sz w:val="18"/>
          <w:szCs w:val="18"/>
        </w:rPr>
        <w:t>FG</w:t>
      </w:r>
      <w:r w:rsidRPr="00AE4C8D">
        <w:rPr>
          <w:rFonts w:cs="Arial"/>
          <w:b/>
          <w:sz w:val="18"/>
          <w:szCs w:val="18"/>
        </w:rPr>
        <w:t xml:space="preserve"> 15-89 mL/min/1,73 m</w:t>
      </w:r>
      <w:r w:rsidRPr="00AE4C8D">
        <w:rPr>
          <w:rFonts w:cs="Arial"/>
          <w:b/>
          <w:sz w:val="18"/>
          <w:szCs w:val="18"/>
          <w:vertAlign w:val="superscript"/>
        </w:rPr>
        <w:t>2</w:t>
      </w:r>
      <w:r w:rsidRPr="00AE4C8D">
        <w:rPr>
          <w:rFonts w:cs="Arial"/>
          <w:b/>
          <w:sz w:val="18"/>
          <w:szCs w:val="18"/>
        </w:rPr>
        <w:t>)</w:t>
      </w: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701"/>
        <w:gridCol w:w="1701"/>
        <w:gridCol w:w="1559"/>
      </w:tblGrid>
      <w:tr w:rsidR="00E81B3D" w:rsidRPr="00914C78" w:rsidTr="00AE4C8D">
        <w:trPr>
          <w:trHeight w:val="315"/>
        </w:trPr>
        <w:tc>
          <w:tcPr>
            <w:tcW w:w="3969" w:type="dxa"/>
            <w:vAlign w:val="center"/>
          </w:tcPr>
          <w:p w:rsidR="00E81B3D" w:rsidRPr="00AE4C8D"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b/>
                <w:sz w:val="18"/>
                <w:szCs w:val="18"/>
              </w:rPr>
            </w:pPr>
            <w:r w:rsidRPr="00AE4C8D">
              <w:rPr>
                <w:rFonts w:ascii="Arial" w:hAnsi="Arial"/>
                <w:b/>
                <w:sz w:val="18"/>
                <w:szCs w:val="18"/>
              </w:rPr>
              <w:t>Recom</w:t>
            </w:r>
            <w:r>
              <w:rPr>
                <w:rFonts w:ascii="Arial" w:hAnsi="Arial"/>
                <w:b/>
                <w:sz w:val="18"/>
                <w:szCs w:val="18"/>
              </w:rPr>
              <w:t>endaciones</w:t>
            </w:r>
          </w:p>
        </w:tc>
        <w:tc>
          <w:tcPr>
            <w:tcW w:w="1701" w:type="dxa"/>
            <w:vAlign w:val="center"/>
          </w:tcPr>
          <w:p w:rsidR="00E81B3D" w:rsidRPr="00AE4C8D" w:rsidRDefault="00E81B3D" w:rsidP="00CF790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AE4C8D">
              <w:rPr>
                <w:rFonts w:ascii="Arial" w:hAnsi="Arial"/>
                <w:b/>
                <w:sz w:val="18"/>
                <w:szCs w:val="18"/>
              </w:rPr>
              <w:t>Clas</w:t>
            </w:r>
            <w:r>
              <w:rPr>
                <w:rFonts w:ascii="Arial" w:hAnsi="Arial"/>
                <w:b/>
                <w:sz w:val="18"/>
                <w:szCs w:val="18"/>
              </w:rPr>
              <w:t>e</w:t>
            </w:r>
            <w:r w:rsidRPr="00AE4C8D">
              <w:rPr>
                <w:rFonts w:ascii="Arial" w:hAnsi="Arial"/>
                <w:b/>
                <w:sz w:val="18"/>
                <w:szCs w:val="18"/>
                <w:vertAlign w:val="superscript"/>
              </w:rPr>
              <w:t>a</w:t>
            </w:r>
          </w:p>
        </w:tc>
        <w:tc>
          <w:tcPr>
            <w:tcW w:w="1701" w:type="dxa"/>
            <w:vAlign w:val="center"/>
          </w:tcPr>
          <w:p w:rsidR="00E81B3D" w:rsidRPr="00AE4C8D"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Nivel</w:t>
            </w:r>
            <w:r w:rsidRPr="00AE4C8D">
              <w:rPr>
                <w:rFonts w:ascii="Arial" w:hAnsi="Arial"/>
                <w:b/>
                <w:sz w:val="18"/>
                <w:szCs w:val="18"/>
                <w:vertAlign w:val="superscript"/>
              </w:rPr>
              <w:t>b</w:t>
            </w:r>
          </w:p>
        </w:tc>
        <w:tc>
          <w:tcPr>
            <w:tcW w:w="1559" w:type="dxa"/>
            <w:vAlign w:val="center"/>
          </w:tcPr>
          <w:p w:rsidR="00E81B3D" w:rsidRPr="00AE4C8D"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AE4C8D">
              <w:rPr>
                <w:rFonts w:ascii="Arial" w:hAnsi="Arial"/>
                <w:b/>
                <w:sz w:val="18"/>
                <w:szCs w:val="18"/>
              </w:rPr>
              <w:t>Ref</w:t>
            </w:r>
            <w:r w:rsidRPr="00AE4C8D">
              <w:rPr>
                <w:rFonts w:ascii="Arial" w:hAnsi="Arial"/>
                <w:b/>
                <w:sz w:val="18"/>
                <w:szCs w:val="18"/>
                <w:vertAlign w:val="superscript"/>
              </w:rPr>
              <w:t>c</w:t>
            </w:r>
          </w:p>
        </w:tc>
      </w:tr>
      <w:tr w:rsidR="00E81B3D" w:rsidRPr="00AE4C8D" w:rsidTr="00AE4C8D">
        <w:trPr>
          <w:trHeight w:val="315"/>
        </w:trPr>
        <w:tc>
          <w:tcPr>
            <w:tcW w:w="3969" w:type="dxa"/>
            <w:vAlign w:val="center"/>
          </w:tcPr>
          <w:p w:rsidR="00E81B3D" w:rsidRPr="009A7C55" w:rsidRDefault="00E81B3D" w:rsidP="009A7C5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r w:rsidRPr="009A7C55">
              <w:rPr>
                <w:rFonts w:ascii="Arial" w:hAnsi="Arial"/>
                <w:color w:val="auto"/>
                <w:sz w:val="18"/>
                <w:szCs w:val="18"/>
                <w:lang w:val="es-ES"/>
              </w:rPr>
              <w:t>ERC es reconocida como factor de riesgo equivalente a CAD</w:t>
            </w:r>
            <w:r>
              <w:rPr>
                <w:rFonts w:ascii="Arial" w:hAnsi="Arial"/>
                <w:color w:val="auto"/>
                <w:sz w:val="18"/>
                <w:szCs w:val="18"/>
                <w:lang w:val="es-ES"/>
              </w:rPr>
              <w:t>.</w:t>
            </w:r>
            <w:r w:rsidRPr="009A7C55">
              <w:rPr>
                <w:rFonts w:ascii="Arial" w:hAnsi="Arial"/>
                <w:color w:val="auto"/>
                <w:sz w:val="18"/>
                <w:szCs w:val="18"/>
                <w:lang w:val="es-ES"/>
              </w:rPr>
              <w:t xml:space="preserve"> En estos pacientes se recomienda reducción de LDL-c como objetivo 1º</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I</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A</w:t>
            </w:r>
          </w:p>
        </w:tc>
        <w:tc>
          <w:tcPr>
            <w:tcW w:w="1559"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189, 190</w:t>
            </w:r>
          </w:p>
        </w:tc>
      </w:tr>
      <w:tr w:rsidR="00E81B3D" w:rsidRPr="00AE4C8D" w:rsidTr="00AE4C8D">
        <w:trPr>
          <w:trHeight w:val="315"/>
        </w:trPr>
        <w:tc>
          <w:tcPr>
            <w:tcW w:w="3969" w:type="dxa"/>
            <w:vAlign w:val="center"/>
          </w:tcPr>
          <w:p w:rsidR="00E81B3D" w:rsidRPr="009A7C55" w:rsidRDefault="00E81B3D" w:rsidP="003D063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r w:rsidRPr="009A7C55">
              <w:rPr>
                <w:rFonts w:ascii="Arial" w:hAnsi="Arial"/>
                <w:color w:val="auto"/>
                <w:sz w:val="18"/>
                <w:szCs w:val="18"/>
                <w:lang w:val="es-ES"/>
              </w:rPr>
              <w:t>El descenso del LDL-c reduce el riesgo CV  en ERC y debe ser considerado</w:t>
            </w:r>
          </w:p>
          <w:p w:rsidR="00E81B3D" w:rsidRPr="009A7C55" w:rsidRDefault="00E81B3D" w:rsidP="003D063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Ii</w:t>
            </w:r>
            <w:r w:rsidRPr="00303AE5">
              <w:rPr>
                <w:rFonts w:ascii="Arial" w:hAnsi="Arial"/>
                <w:b/>
                <w:sz w:val="18"/>
                <w:szCs w:val="18"/>
              </w:rPr>
              <w:t>a</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B</w:t>
            </w:r>
          </w:p>
        </w:tc>
        <w:tc>
          <w:tcPr>
            <w:tcW w:w="1559"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111, 193</w:t>
            </w:r>
          </w:p>
        </w:tc>
      </w:tr>
      <w:tr w:rsidR="00E81B3D" w:rsidRPr="00AE4C8D" w:rsidTr="00AE4C8D">
        <w:trPr>
          <w:trHeight w:val="315"/>
        </w:trPr>
        <w:tc>
          <w:tcPr>
            <w:tcW w:w="3969" w:type="dxa"/>
            <w:vAlign w:val="center"/>
          </w:tcPr>
          <w:p w:rsidR="00E81B3D" w:rsidRPr="009A7C55" w:rsidRDefault="00E81B3D" w:rsidP="009A7C5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r w:rsidRPr="009A7C55">
              <w:rPr>
                <w:rFonts w:ascii="Arial" w:hAnsi="Arial"/>
                <w:color w:val="auto"/>
                <w:sz w:val="18"/>
                <w:szCs w:val="18"/>
                <w:lang w:val="es-ES"/>
              </w:rPr>
              <w:t>Las estatinas podrían reducir moderadamente la progresión del deterioro renal y ser nefroprotectoras</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Ii</w:t>
            </w:r>
            <w:r w:rsidRPr="00303AE5">
              <w:rPr>
                <w:rFonts w:ascii="Arial" w:hAnsi="Arial"/>
                <w:b/>
                <w:sz w:val="18"/>
                <w:szCs w:val="18"/>
              </w:rPr>
              <w:t>a</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C</w:t>
            </w:r>
          </w:p>
        </w:tc>
        <w:tc>
          <w:tcPr>
            <w:tcW w:w="1559"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w:t>
            </w:r>
          </w:p>
        </w:tc>
      </w:tr>
      <w:tr w:rsidR="00E81B3D" w:rsidRPr="00AE4C8D" w:rsidTr="00AE4C8D">
        <w:trPr>
          <w:trHeight w:val="315"/>
        </w:trPr>
        <w:tc>
          <w:tcPr>
            <w:tcW w:w="3969" w:type="dxa"/>
            <w:vAlign w:val="center"/>
          </w:tcPr>
          <w:p w:rsidR="00E81B3D" w:rsidRPr="009A7C55" w:rsidRDefault="00E81B3D" w:rsidP="009A7C5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r w:rsidRPr="009A7C55">
              <w:rPr>
                <w:rFonts w:ascii="Arial" w:hAnsi="Arial"/>
                <w:color w:val="auto"/>
                <w:sz w:val="18"/>
                <w:szCs w:val="18"/>
                <w:lang w:val="es-ES"/>
              </w:rPr>
              <w:t>Las estatinas pueden reducir moderadamnente la proteinuria (&gt;300 mg/day) en ERC estadios  2-4 .</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Pr>
                <w:rFonts w:ascii="Arial" w:hAnsi="Arial"/>
                <w:b/>
                <w:sz w:val="18"/>
                <w:szCs w:val="18"/>
              </w:rPr>
              <w:t>Ii</w:t>
            </w:r>
            <w:r w:rsidRPr="00303AE5">
              <w:rPr>
                <w:rFonts w:ascii="Arial" w:hAnsi="Arial"/>
                <w:b/>
                <w:sz w:val="18"/>
                <w:szCs w:val="18"/>
              </w:rPr>
              <w:t>a</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B</w:t>
            </w:r>
          </w:p>
        </w:tc>
        <w:tc>
          <w:tcPr>
            <w:tcW w:w="1559"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194</w:t>
            </w:r>
          </w:p>
        </w:tc>
      </w:tr>
      <w:tr w:rsidR="00E81B3D" w:rsidRPr="00AE4C8D" w:rsidTr="00AE4C8D">
        <w:trPr>
          <w:trHeight w:val="315"/>
        </w:trPr>
        <w:tc>
          <w:tcPr>
            <w:tcW w:w="3969" w:type="dxa"/>
            <w:vAlign w:val="center"/>
          </w:tcPr>
          <w:p w:rsidR="00E81B3D" w:rsidRPr="009A7C55" w:rsidRDefault="00E81B3D" w:rsidP="003D0637">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lang w:val="es-ES"/>
              </w:rPr>
            </w:pPr>
            <w:r w:rsidRPr="009A7C55">
              <w:rPr>
                <w:rFonts w:ascii="Arial" w:hAnsi="Arial"/>
                <w:color w:val="auto"/>
                <w:sz w:val="18"/>
                <w:szCs w:val="18"/>
                <w:lang w:val="es-ES"/>
              </w:rPr>
              <w:t xml:space="preserve">En ERC moderada –severa las estatinas en  monotherapia o en combinación pueden ayudar a conseguir c- LDL-C &lt;1,8 mmol/L (&lt; </w:t>
            </w:r>
            <w:r w:rsidRPr="009A7C55">
              <w:rPr>
                <w:rFonts w:ascii="Arial" w:hAnsi="Arial" w:cs="Arial"/>
                <w:color w:val="auto"/>
                <w:sz w:val="18"/>
                <w:szCs w:val="18"/>
              </w:rPr>
              <w:sym w:font="Symbol" w:char="F07E"/>
            </w:r>
            <w:r w:rsidRPr="009A7C55">
              <w:rPr>
                <w:rFonts w:ascii="Arial" w:hAnsi="Arial"/>
                <w:color w:val="auto"/>
                <w:sz w:val="18"/>
                <w:szCs w:val="18"/>
                <w:lang w:val="es-ES"/>
              </w:rPr>
              <w:t>70 mg/dL)</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Iia</w:t>
            </w:r>
          </w:p>
        </w:tc>
        <w:tc>
          <w:tcPr>
            <w:tcW w:w="1701"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C</w:t>
            </w:r>
          </w:p>
        </w:tc>
        <w:tc>
          <w:tcPr>
            <w:tcW w:w="1559" w:type="dxa"/>
            <w:vAlign w:val="center"/>
          </w:tcPr>
          <w:p w:rsidR="00E81B3D" w:rsidRPr="00303AE5" w:rsidRDefault="00E81B3D" w:rsidP="00AE4C8D">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303AE5">
              <w:rPr>
                <w:rFonts w:ascii="Arial" w:hAnsi="Arial"/>
                <w:b/>
                <w:sz w:val="18"/>
                <w:szCs w:val="18"/>
              </w:rPr>
              <w:t>-</w:t>
            </w:r>
          </w:p>
        </w:tc>
      </w:tr>
    </w:tbl>
    <w:p w:rsidR="00E81B3D" w:rsidRPr="00E953A0" w:rsidRDefault="00E81B3D" w:rsidP="00B74802">
      <w:pPr>
        <w:spacing w:before="120"/>
        <w:ind w:left="1276"/>
        <w:rPr>
          <w:rFonts w:cs="Arial"/>
          <w:sz w:val="16"/>
          <w:szCs w:val="16"/>
        </w:rPr>
      </w:pPr>
      <w:r w:rsidRPr="00E953A0">
        <w:rPr>
          <w:rFonts w:cs="Arial"/>
          <w:sz w:val="16"/>
          <w:szCs w:val="16"/>
        </w:rPr>
        <w:t>a Clase de recomendación.</w:t>
      </w:r>
    </w:p>
    <w:p w:rsidR="00E81B3D" w:rsidRPr="00E953A0" w:rsidRDefault="00E81B3D" w:rsidP="00B74802">
      <w:pPr>
        <w:ind w:left="1276"/>
        <w:rPr>
          <w:rFonts w:cs="Arial"/>
          <w:sz w:val="16"/>
          <w:szCs w:val="16"/>
        </w:rPr>
      </w:pPr>
      <w:r w:rsidRPr="00E953A0">
        <w:rPr>
          <w:rFonts w:cs="Arial"/>
          <w:sz w:val="16"/>
          <w:szCs w:val="16"/>
        </w:rPr>
        <w:t>b Nivel de evidencia.</w:t>
      </w:r>
    </w:p>
    <w:p w:rsidR="00E81B3D" w:rsidRDefault="00E81B3D" w:rsidP="00B74802">
      <w:pPr>
        <w:ind w:left="1276"/>
        <w:rPr>
          <w:rFonts w:cs="Arial"/>
          <w:sz w:val="16"/>
          <w:szCs w:val="16"/>
        </w:rPr>
      </w:pPr>
      <w:r>
        <w:rPr>
          <w:rFonts w:cs="Arial"/>
          <w:sz w:val="16"/>
          <w:szCs w:val="16"/>
        </w:rPr>
        <w:t>c Referencias</w:t>
      </w:r>
      <w:r w:rsidRPr="00B74802">
        <w:rPr>
          <w:rFonts w:cs="Arial"/>
          <w:sz w:val="16"/>
          <w:szCs w:val="16"/>
        </w:rPr>
        <w:t>.</w:t>
      </w:r>
    </w:p>
    <w:p w:rsidR="00E81B3D" w:rsidRPr="00B74802" w:rsidRDefault="00E81B3D" w:rsidP="00B74802">
      <w:pPr>
        <w:ind w:left="1276"/>
        <w:rPr>
          <w:rFonts w:cs="Arial"/>
          <w:sz w:val="16"/>
          <w:szCs w:val="16"/>
        </w:rPr>
      </w:pPr>
    </w:p>
    <w:p w:rsidR="00E81B3D" w:rsidRPr="00DA3051" w:rsidRDefault="00E81B3D" w:rsidP="003E329E">
      <w:pPr>
        <w:numPr>
          <w:ilvl w:val="0"/>
          <w:numId w:val="2"/>
        </w:numPr>
        <w:spacing w:before="120" w:after="120"/>
        <w:ind w:left="1276" w:hanging="283"/>
        <w:rPr>
          <w:rFonts w:cs="Arial"/>
          <w:b/>
          <w:sz w:val="20"/>
          <w:szCs w:val="20"/>
        </w:rPr>
      </w:pPr>
      <w:r w:rsidRPr="003E329E">
        <w:rPr>
          <w:rFonts w:cs="Arial"/>
          <w:b/>
          <w:sz w:val="20"/>
          <w:szCs w:val="20"/>
        </w:rPr>
        <w:t>Manejo de la dislipemia en pacientes trasplantados</w:t>
      </w:r>
    </w:p>
    <w:p w:rsidR="00E81B3D" w:rsidRPr="00C352B1" w:rsidRDefault="00E81B3D" w:rsidP="00B74802">
      <w:pPr>
        <w:autoSpaceDE w:val="0"/>
        <w:autoSpaceDN w:val="0"/>
        <w:adjustRightInd w:val="0"/>
        <w:ind w:left="1276"/>
        <w:rPr>
          <w:rFonts w:cs="Arial"/>
          <w:sz w:val="20"/>
          <w:szCs w:val="20"/>
        </w:rPr>
      </w:pPr>
      <w:r w:rsidRPr="00C352B1">
        <w:rPr>
          <w:rFonts w:cs="Arial"/>
          <w:sz w:val="20"/>
          <w:szCs w:val="20"/>
        </w:rPr>
        <w:t>Las alteraciones lipídicas son frecuentes en los pacientes trasplantados favoreciendo la aparición de la enfermedad arterioesclerótica y la vasculopatía arterial.</w:t>
      </w:r>
    </w:p>
    <w:p w:rsidR="00E81B3D" w:rsidRPr="00C352B1" w:rsidRDefault="00E81B3D" w:rsidP="00B74802">
      <w:pPr>
        <w:autoSpaceDE w:val="0"/>
        <w:autoSpaceDN w:val="0"/>
        <w:adjustRightInd w:val="0"/>
        <w:ind w:left="1276"/>
        <w:rPr>
          <w:rFonts w:cs="Arial"/>
          <w:sz w:val="20"/>
          <w:szCs w:val="20"/>
        </w:rPr>
      </w:pPr>
      <w:r w:rsidRPr="00C352B1">
        <w:rPr>
          <w:rFonts w:cs="Arial"/>
          <w:sz w:val="20"/>
          <w:szCs w:val="20"/>
        </w:rPr>
        <w:t>El tratamiento inmunosupresor tiene un efecto negativo sobre el perfil lipídico.</w:t>
      </w:r>
    </w:p>
    <w:p w:rsidR="00E81B3D" w:rsidRPr="00C352B1" w:rsidRDefault="00E81B3D" w:rsidP="00B74802">
      <w:pPr>
        <w:autoSpaceDE w:val="0"/>
        <w:autoSpaceDN w:val="0"/>
        <w:adjustRightInd w:val="0"/>
        <w:ind w:left="1276"/>
        <w:rPr>
          <w:rFonts w:cs="Arial"/>
          <w:sz w:val="20"/>
          <w:szCs w:val="20"/>
        </w:rPr>
      </w:pPr>
      <w:r w:rsidRPr="00C352B1">
        <w:rPr>
          <w:rFonts w:cs="Arial"/>
          <w:sz w:val="20"/>
          <w:szCs w:val="20"/>
        </w:rPr>
        <w:t>Los glucocorticoides provocan ganancia de peso, insulino-resistencia, y aumento de de las conc</w:t>
      </w:r>
      <w:r>
        <w:rPr>
          <w:rFonts w:cs="Arial"/>
          <w:sz w:val="20"/>
          <w:szCs w:val="20"/>
        </w:rPr>
        <w:t>entraciones de colesterol, VLDL-colesterol</w:t>
      </w:r>
      <w:r w:rsidRPr="00C352B1">
        <w:rPr>
          <w:rFonts w:cs="Arial"/>
          <w:sz w:val="20"/>
          <w:szCs w:val="20"/>
        </w:rPr>
        <w:t xml:space="preserve"> y TG, y del tamaño y densidad de las partículas de LDL. Los inhibidores de la calcineurina  aumentan la actividad de la lipasa hepática y reducen el aclaramiento de lipoproteínas aterogénicas. La ciclosporina tiene un efecto más negativo sobre el perfil lipídico que el tacrólimus; y sirolimus .</w:t>
      </w:r>
    </w:p>
    <w:p w:rsidR="00E81B3D" w:rsidRPr="00C352B1" w:rsidRDefault="00E81B3D" w:rsidP="00D340CD">
      <w:pPr>
        <w:autoSpaceDE w:val="0"/>
        <w:autoSpaceDN w:val="0"/>
        <w:adjustRightInd w:val="0"/>
        <w:ind w:left="1276"/>
        <w:rPr>
          <w:rFonts w:cs="Arial"/>
          <w:sz w:val="20"/>
          <w:szCs w:val="20"/>
        </w:rPr>
      </w:pPr>
      <w:bookmarkStart w:id="55" w:name="_Toc316486471"/>
      <w:bookmarkStart w:id="56" w:name="_Toc316486570"/>
      <w:r w:rsidRPr="00C352B1">
        <w:rPr>
          <w:rFonts w:cs="Arial"/>
          <w:sz w:val="20"/>
          <w:szCs w:val="20"/>
        </w:rPr>
        <w:t>Los pacientes trasplantados deben recibir las mismas recomendaciones sobre estilo de vida que el resto de pacientes de alto riesgo CV. El efecto de las estatinas es el mismo que en población general. Un reciente meta-análisis</w:t>
      </w:r>
      <w:r w:rsidRPr="00C352B1">
        <w:rPr>
          <w:rStyle w:val="Refdenotaalfinal"/>
          <w:rFonts w:cs="Arial"/>
          <w:sz w:val="20"/>
          <w:szCs w:val="20"/>
          <w:lang w:val="en-US"/>
        </w:rPr>
        <w:endnoteReference w:id="114"/>
      </w:r>
      <w:r w:rsidRPr="00C352B1">
        <w:rPr>
          <w:rFonts w:cs="Arial"/>
          <w:sz w:val="20"/>
          <w:szCs w:val="20"/>
        </w:rPr>
        <w:t xml:space="preserve"> muestra una fuerte tendencia en la reducción de morbimortalidad CV en trasplantados renales tratados con estatinas.</w:t>
      </w:r>
    </w:p>
    <w:p w:rsidR="00E81B3D" w:rsidRDefault="00E81B3D" w:rsidP="00D340CD">
      <w:pPr>
        <w:autoSpaceDE w:val="0"/>
        <w:autoSpaceDN w:val="0"/>
        <w:adjustRightInd w:val="0"/>
        <w:ind w:left="1276"/>
        <w:rPr>
          <w:rFonts w:cs="Arial"/>
          <w:sz w:val="20"/>
          <w:szCs w:val="20"/>
        </w:rPr>
      </w:pPr>
      <w:r w:rsidRPr="00C352B1">
        <w:rPr>
          <w:rFonts w:cs="Arial"/>
          <w:sz w:val="20"/>
          <w:szCs w:val="20"/>
        </w:rPr>
        <w:t>Debe tenerse en cuenta determinadas interacciones, particularmente con ciclosporina y estatinas como atorvastatina, lovastatina y,simvastatin, ya que puede</w:t>
      </w:r>
      <w:r w:rsidRPr="003E329E">
        <w:rPr>
          <w:rFonts w:cs="Arial"/>
          <w:sz w:val="20"/>
          <w:szCs w:val="20"/>
        </w:rPr>
        <w:t xml:space="preserve"> aumentar sus niveles</w:t>
      </w:r>
      <w:r>
        <w:rPr>
          <w:rFonts w:cs="Arial"/>
          <w:sz w:val="20"/>
          <w:szCs w:val="20"/>
        </w:rPr>
        <w:t xml:space="preserve"> </w:t>
      </w:r>
      <w:r w:rsidRPr="003E329E">
        <w:rPr>
          <w:rFonts w:cs="Arial"/>
          <w:sz w:val="20"/>
          <w:szCs w:val="20"/>
        </w:rPr>
        <w:t>y aumentar el riesgo de miopatía.</w:t>
      </w:r>
      <w:r>
        <w:rPr>
          <w:rFonts w:cs="Arial"/>
          <w:sz w:val="20"/>
          <w:szCs w:val="20"/>
        </w:rPr>
        <w:t xml:space="preserve"> </w:t>
      </w:r>
      <w:r w:rsidRPr="003E329E">
        <w:rPr>
          <w:rFonts w:cs="Arial"/>
          <w:sz w:val="20"/>
          <w:szCs w:val="20"/>
        </w:rPr>
        <w:t>Fluvastatina, pravastatina, pitavastatina, y rosuvastatina tiene menos probabilidad de interaccionar. Aunque tacrolimus se metaboliza también por el CYP3A4 parece que tiene menos riesgo de interaccionar con estatinas.</w:t>
      </w:r>
    </w:p>
    <w:p w:rsidR="00E81B3D" w:rsidRPr="003E329E" w:rsidRDefault="00E81B3D" w:rsidP="00D340CD">
      <w:pPr>
        <w:autoSpaceDE w:val="0"/>
        <w:autoSpaceDN w:val="0"/>
        <w:adjustRightInd w:val="0"/>
        <w:ind w:left="1276"/>
        <w:rPr>
          <w:rFonts w:cs="Arial"/>
          <w:sz w:val="20"/>
          <w:szCs w:val="20"/>
        </w:rPr>
      </w:pPr>
      <w:r w:rsidRPr="003E329E">
        <w:rPr>
          <w:rFonts w:cs="Arial"/>
          <w:sz w:val="20"/>
          <w:szCs w:val="20"/>
        </w:rPr>
        <w:t>Los fármacos de elección para tratar la dislipemia en los trasplantados son las estatinas. Deben iniciarse a baja</w:t>
      </w:r>
      <w:r>
        <w:rPr>
          <w:rFonts w:cs="Arial"/>
          <w:sz w:val="20"/>
          <w:szCs w:val="20"/>
        </w:rPr>
        <w:t xml:space="preserve">s dosis, titularse con cautela </w:t>
      </w:r>
      <w:r w:rsidRPr="003E329E">
        <w:rPr>
          <w:rFonts w:cs="Arial"/>
          <w:sz w:val="20"/>
          <w:szCs w:val="20"/>
        </w:rPr>
        <w:t>y vigilar las interacciones. Pravastatin o fluvastatina son de elección en tratados con</w:t>
      </w:r>
      <w:r>
        <w:rPr>
          <w:rFonts w:cs="Arial"/>
          <w:sz w:val="20"/>
          <w:szCs w:val="20"/>
        </w:rPr>
        <w:t xml:space="preserve"> </w:t>
      </w:r>
      <w:r w:rsidRPr="003E329E">
        <w:rPr>
          <w:rFonts w:cs="Arial"/>
          <w:sz w:val="20"/>
          <w:szCs w:val="20"/>
        </w:rPr>
        <w:t>ciclosporina.</w:t>
      </w:r>
    </w:p>
    <w:p w:rsidR="00E81B3D" w:rsidRDefault="00E81B3D" w:rsidP="00D340CD">
      <w:pPr>
        <w:autoSpaceDE w:val="0"/>
        <w:autoSpaceDN w:val="0"/>
        <w:adjustRightInd w:val="0"/>
        <w:ind w:left="1276"/>
        <w:rPr>
          <w:rFonts w:cs="Arial"/>
          <w:sz w:val="20"/>
          <w:szCs w:val="20"/>
        </w:rPr>
      </w:pPr>
      <w:r w:rsidRPr="003E329E">
        <w:rPr>
          <w:rFonts w:cs="Arial"/>
          <w:sz w:val="20"/>
          <w:szCs w:val="20"/>
        </w:rPr>
        <w:t xml:space="preserve"> Si no es posible administrar una estatina, pueden considerarse como alternativas</w:t>
      </w:r>
      <w:r>
        <w:rPr>
          <w:rFonts w:cs="Arial"/>
          <w:sz w:val="20"/>
          <w:szCs w:val="20"/>
        </w:rPr>
        <w:t xml:space="preserve"> </w:t>
      </w:r>
      <w:r w:rsidRPr="003E329E">
        <w:rPr>
          <w:rFonts w:cs="Arial"/>
          <w:sz w:val="20"/>
          <w:szCs w:val="20"/>
        </w:rPr>
        <w:t>ezetimiba o</w:t>
      </w:r>
      <w:r>
        <w:rPr>
          <w:rFonts w:cs="Arial"/>
          <w:sz w:val="20"/>
          <w:szCs w:val="20"/>
        </w:rPr>
        <w:t xml:space="preserve"> </w:t>
      </w:r>
      <w:r w:rsidRPr="003E329E">
        <w:rPr>
          <w:rFonts w:cs="Arial"/>
          <w:sz w:val="20"/>
          <w:szCs w:val="20"/>
        </w:rPr>
        <w:t>ácido nicotínico, aunque no existe ninguna información</w:t>
      </w:r>
      <w:r>
        <w:rPr>
          <w:rFonts w:cs="Arial"/>
          <w:sz w:val="20"/>
          <w:szCs w:val="20"/>
        </w:rPr>
        <w:t xml:space="preserve"> </w:t>
      </w:r>
      <w:r w:rsidRPr="003E329E">
        <w:rPr>
          <w:rFonts w:cs="Arial"/>
          <w:sz w:val="20"/>
          <w:szCs w:val="20"/>
        </w:rPr>
        <w:t>de peso al respecto. La administración de fibratos puede reducir los niveles de</w:t>
      </w:r>
      <w:r>
        <w:rPr>
          <w:rFonts w:cs="Arial"/>
          <w:sz w:val="20"/>
          <w:szCs w:val="20"/>
        </w:rPr>
        <w:t xml:space="preserve"> </w:t>
      </w:r>
      <w:r w:rsidRPr="003E329E">
        <w:rPr>
          <w:rFonts w:cs="Arial"/>
          <w:sz w:val="20"/>
          <w:szCs w:val="20"/>
        </w:rPr>
        <w:t>ciclosporina. Su administración conjunta con estatinas requiere una precaución extrema por el riesgo de miopatía. Colestiramina no es eficaz en monoterapia.</w:t>
      </w:r>
    </w:p>
    <w:p w:rsidR="00E81B3D" w:rsidRPr="00EF278A" w:rsidRDefault="00E81B3D" w:rsidP="00D340CD">
      <w:pPr>
        <w:autoSpaceDE w:val="0"/>
        <w:autoSpaceDN w:val="0"/>
        <w:adjustRightInd w:val="0"/>
        <w:ind w:left="1276"/>
        <w:rPr>
          <w:rFonts w:cs="Arial"/>
          <w:sz w:val="20"/>
          <w:szCs w:val="20"/>
        </w:rPr>
      </w:pPr>
    </w:p>
    <w:p w:rsidR="00E81B3D" w:rsidRPr="00215D7C" w:rsidRDefault="00E81B3D" w:rsidP="00B62C24">
      <w:pPr>
        <w:pStyle w:val="Ttulo2"/>
        <w:ind w:left="993" w:hanging="426"/>
        <w:rPr>
          <w:rFonts w:ascii="Arial" w:hAnsi="Arial" w:cs="Arial"/>
          <w:i w:val="0"/>
          <w:sz w:val="20"/>
          <w:szCs w:val="20"/>
        </w:rPr>
      </w:pPr>
      <w:bookmarkStart w:id="57" w:name="_Toc341725531"/>
      <w:r w:rsidRPr="00215D7C">
        <w:rPr>
          <w:rFonts w:ascii="Arial" w:hAnsi="Arial" w:cs="Arial"/>
          <w:i w:val="0"/>
          <w:sz w:val="20"/>
          <w:szCs w:val="20"/>
        </w:rPr>
        <w:lastRenderedPageBreak/>
        <w:t>Tabaquismo.</w:t>
      </w:r>
      <w:bookmarkEnd w:id="55"/>
      <w:bookmarkEnd w:id="56"/>
      <w:bookmarkEnd w:id="57"/>
    </w:p>
    <w:p w:rsidR="00E81B3D" w:rsidRDefault="00E81B3D" w:rsidP="00D340CD">
      <w:pPr>
        <w:spacing w:before="120" w:after="120"/>
        <w:ind w:left="993"/>
        <w:rPr>
          <w:rFonts w:cs="Arial"/>
          <w:b/>
          <w:sz w:val="20"/>
          <w:szCs w:val="20"/>
        </w:rPr>
      </w:pPr>
      <w:r w:rsidRPr="002D6DC2">
        <w:rPr>
          <w:rFonts w:cs="Arial"/>
          <w:b/>
          <w:sz w:val="20"/>
          <w:szCs w:val="20"/>
        </w:rPr>
        <w:t>Recomendaciones</w:t>
      </w:r>
    </w:p>
    <w:p w:rsidR="00E81B3D" w:rsidRPr="002D6DC2" w:rsidRDefault="00E81B3D" w:rsidP="00D340CD">
      <w:pPr>
        <w:spacing w:before="120" w:after="120"/>
        <w:ind w:left="993"/>
        <w:rPr>
          <w:rFonts w:cs="Arial"/>
          <w:sz w:val="20"/>
          <w:szCs w:val="20"/>
        </w:rPr>
      </w:pPr>
      <w:r w:rsidRPr="002D6DC2">
        <w:rPr>
          <w:rFonts w:cs="Arial"/>
          <w:sz w:val="20"/>
          <w:szCs w:val="20"/>
        </w:rPr>
        <w:t>El hábito de fumar representa uno de los factores directos involucrados en la progresión de la enfermedad renal. Así mismo, sabemos que es uno de los principales factores de riesgo cardiovascular, siendo las enfermedades cardiovasculares la principal causa de muerte en el enfermo renal y en población general. Tenemos datos del efecto favorable de dejar de fumar en la evolución tanto en población general como en especial en en</w:t>
      </w:r>
      <w:r>
        <w:rPr>
          <w:rFonts w:cs="Arial"/>
          <w:sz w:val="20"/>
          <w:szCs w:val="20"/>
        </w:rPr>
        <w:t>fermos con ERC en cualquiera de</w:t>
      </w:r>
      <w:r w:rsidRPr="002D6DC2">
        <w:rPr>
          <w:rFonts w:cs="Arial"/>
          <w:sz w:val="20"/>
          <w:szCs w:val="20"/>
        </w:rPr>
        <w:t xml:space="preserve"> sus estadios.</w:t>
      </w:r>
    </w:p>
    <w:p w:rsidR="00E81B3D" w:rsidRDefault="00E81B3D" w:rsidP="00D340CD">
      <w:pPr>
        <w:spacing w:before="120" w:after="120"/>
        <w:ind w:left="993"/>
        <w:rPr>
          <w:rFonts w:cs="Arial"/>
          <w:sz w:val="20"/>
          <w:szCs w:val="20"/>
        </w:rPr>
      </w:pPr>
      <w:r w:rsidRPr="002D6DC2">
        <w:rPr>
          <w:rFonts w:cs="Arial"/>
          <w:sz w:val="20"/>
          <w:szCs w:val="20"/>
        </w:rPr>
        <w:t>Por tanto en todo paciente con ERC (igual que en población general) debemos preguntar por el</w:t>
      </w:r>
      <w:r>
        <w:rPr>
          <w:rFonts w:cs="Arial"/>
          <w:sz w:val="20"/>
          <w:szCs w:val="20"/>
        </w:rPr>
        <w:t xml:space="preserve"> </w:t>
      </w:r>
      <w:r w:rsidRPr="002D6DC2">
        <w:rPr>
          <w:rFonts w:cs="Arial"/>
          <w:sz w:val="20"/>
          <w:szCs w:val="20"/>
        </w:rPr>
        <w:t>consumo de tabaco en todas las consultas que realicemos (tanto en primaria como especializada). En los pacientes fumadores se realizará un consejo empático pero firme y motivado para dejar de fumar haciendo énfasis en</w:t>
      </w:r>
      <w:r>
        <w:rPr>
          <w:rFonts w:cs="Arial"/>
          <w:sz w:val="20"/>
          <w:szCs w:val="20"/>
        </w:rPr>
        <w:t xml:space="preserve"> </w:t>
      </w:r>
      <w:r w:rsidRPr="002D6DC2">
        <w:rPr>
          <w:rFonts w:cs="Arial"/>
          <w:sz w:val="20"/>
          <w:szCs w:val="20"/>
        </w:rPr>
        <w:t>los beneficios esperados individuales. Y se informará de las posibles ayudas para conseguirlo. (Intervención Mínima Sistematizada (IMS), Técnicas cognitivo-conductuales, Tratamiento farmacológico etc).</w:t>
      </w:r>
    </w:p>
    <w:p w:rsidR="00E81B3D" w:rsidRPr="00EA1C9A" w:rsidRDefault="00E81B3D" w:rsidP="00D340CD">
      <w:pPr>
        <w:spacing w:before="120" w:after="120"/>
        <w:ind w:left="993"/>
        <w:rPr>
          <w:rFonts w:cs="Arial"/>
          <w:sz w:val="20"/>
          <w:szCs w:val="20"/>
        </w:rPr>
      </w:pPr>
      <w:r w:rsidRPr="00EA1C9A">
        <w:rPr>
          <w:rFonts w:cs="Arial"/>
          <w:sz w:val="20"/>
          <w:szCs w:val="20"/>
        </w:rPr>
        <w:t>Desde hace años se vienen obteniendo datos de la asociación entre el hábito de</w:t>
      </w:r>
      <w:r>
        <w:rPr>
          <w:rFonts w:cs="Arial"/>
          <w:sz w:val="20"/>
          <w:szCs w:val="20"/>
        </w:rPr>
        <w:t xml:space="preserve"> </w:t>
      </w:r>
      <w:r w:rsidRPr="00EA1C9A">
        <w:rPr>
          <w:rFonts w:cs="Arial"/>
          <w:sz w:val="20"/>
          <w:szCs w:val="20"/>
        </w:rPr>
        <w:t>fumar</w:t>
      </w:r>
      <w:r>
        <w:rPr>
          <w:rFonts w:cs="Arial"/>
          <w:sz w:val="20"/>
          <w:szCs w:val="20"/>
        </w:rPr>
        <w:t xml:space="preserve"> </w:t>
      </w:r>
      <w:r w:rsidRPr="00EA1C9A">
        <w:rPr>
          <w:rFonts w:cs="Arial"/>
          <w:sz w:val="20"/>
          <w:szCs w:val="20"/>
        </w:rPr>
        <w:t>y el deterioro de la función renal en población general; estudios como el MRFIT</w:t>
      </w:r>
      <w:r>
        <w:rPr>
          <w:rFonts w:cs="Arial"/>
          <w:sz w:val="20"/>
          <w:szCs w:val="20"/>
        </w:rPr>
        <w:t xml:space="preserve"> </w:t>
      </w:r>
      <w:r>
        <w:rPr>
          <w:rStyle w:val="Refdenotaalfinal"/>
          <w:rFonts w:cs="Arial"/>
          <w:sz w:val="20"/>
          <w:szCs w:val="20"/>
        </w:rPr>
        <w:endnoteReference w:id="115"/>
      </w:r>
      <w:r w:rsidRPr="00EA1C9A">
        <w:rPr>
          <w:rFonts w:cs="Arial"/>
          <w:sz w:val="20"/>
          <w:szCs w:val="20"/>
        </w:rPr>
        <w:t>, estudio de Pinto-Sietsma et al.</w:t>
      </w:r>
      <w:r>
        <w:rPr>
          <w:rStyle w:val="Refdenotaalfinal"/>
          <w:rFonts w:cs="Arial"/>
          <w:sz w:val="20"/>
          <w:szCs w:val="20"/>
        </w:rPr>
        <w:endnoteReference w:id="116"/>
      </w:r>
      <w:r w:rsidRPr="00EA1C9A">
        <w:rPr>
          <w:rFonts w:cs="Arial"/>
          <w:sz w:val="20"/>
          <w:szCs w:val="20"/>
        </w:rPr>
        <w:t>, PREVEND</w:t>
      </w:r>
      <w:r>
        <w:rPr>
          <w:rFonts w:cs="Arial"/>
          <w:sz w:val="20"/>
          <w:szCs w:val="20"/>
        </w:rPr>
        <w:t xml:space="preserve"> </w:t>
      </w:r>
      <w:r>
        <w:rPr>
          <w:rStyle w:val="Refdenotaalfinal"/>
          <w:rFonts w:cs="Arial"/>
          <w:sz w:val="20"/>
          <w:szCs w:val="20"/>
        </w:rPr>
        <w:endnoteReference w:id="117"/>
      </w:r>
      <w:r w:rsidRPr="00EA1C9A">
        <w:rPr>
          <w:rFonts w:cs="Arial"/>
          <w:sz w:val="20"/>
          <w:szCs w:val="20"/>
        </w:rPr>
        <w:t>, estudio de Halimi y c.</w:t>
      </w:r>
      <w:r>
        <w:rPr>
          <w:rFonts w:cs="Arial"/>
          <w:sz w:val="20"/>
          <w:szCs w:val="20"/>
        </w:rPr>
        <w:t xml:space="preserve"> </w:t>
      </w:r>
      <w:r>
        <w:rPr>
          <w:rStyle w:val="Refdenotaalfinal"/>
          <w:rFonts w:cs="Arial"/>
          <w:sz w:val="20"/>
          <w:szCs w:val="20"/>
        </w:rPr>
        <w:endnoteReference w:id="118"/>
      </w:r>
      <w:r w:rsidRPr="00EA1C9A">
        <w:rPr>
          <w:rFonts w:cs="Arial"/>
          <w:sz w:val="20"/>
          <w:szCs w:val="20"/>
        </w:rPr>
        <w:t>, estudio de Briganti et al.</w:t>
      </w:r>
      <w:r>
        <w:rPr>
          <w:rFonts w:cs="Arial"/>
          <w:sz w:val="20"/>
          <w:szCs w:val="20"/>
        </w:rPr>
        <w:t xml:space="preserve"> </w:t>
      </w:r>
      <w:r>
        <w:rPr>
          <w:rStyle w:val="Refdenotaalfinal"/>
          <w:rFonts w:cs="Arial"/>
          <w:sz w:val="20"/>
          <w:szCs w:val="20"/>
        </w:rPr>
        <w:endnoteReference w:id="119"/>
      </w:r>
      <w:r w:rsidRPr="00EA1C9A">
        <w:rPr>
          <w:rFonts w:cs="Arial"/>
          <w:sz w:val="20"/>
          <w:szCs w:val="20"/>
        </w:rPr>
        <w:t>. En pacientes diabéticos también, diversos estudios indican que el tabaquismo es un factor de riesgo en todas las</w:t>
      </w:r>
      <w:r>
        <w:rPr>
          <w:rFonts w:cs="Arial"/>
          <w:sz w:val="20"/>
          <w:szCs w:val="20"/>
        </w:rPr>
        <w:t xml:space="preserve"> </w:t>
      </w:r>
      <w:r w:rsidRPr="00EA1C9A">
        <w:rPr>
          <w:rFonts w:cs="Arial"/>
          <w:sz w:val="20"/>
          <w:szCs w:val="20"/>
        </w:rPr>
        <w:t>etapas del daño renal y que además incrementa la velocidad de progresión de la insuficiencia renal, acortando el tiempo de entrada en diálisis</w:t>
      </w:r>
      <w:r>
        <w:rPr>
          <w:rFonts w:cs="Arial"/>
          <w:sz w:val="20"/>
          <w:szCs w:val="20"/>
        </w:rPr>
        <w:t xml:space="preserve"> </w:t>
      </w:r>
      <w:r>
        <w:rPr>
          <w:rStyle w:val="Refdenotaalfinal"/>
          <w:rFonts w:cs="Arial"/>
          <w:sz w:val="20"/>
          <w:szCs w:val="20"/>
        </w:rPr>
        <w:endnoteReference w:id="120"/>
      </w:r>
      <w:r>
        <w:rPr>
          <w:rFonts w:cs="Arial"/>
          <w:sz w:val="20"/>
          <w:szCs w:val="20"/>
        </w:rPr>
        <w:t xml:space="preserve"> </w:t>
      </w:r>
      <w:r>
        <w:rPr>
          <w:rStyle w:val="Refdenotaalfinal"/>
          <w:rFonts w:cs="Arial"/>
          <w:sz w:val="20"/>
          <w:szCs w:val="20"/>
        </w:rPr>
        <w:endnoteReference w:id="121"/>
      </w:r>
      <w:r>
        <w:rPr>
          <w:rFonts w:cs="Arial"/>
          <w:sz w:val="20"/>
          <w:szCs w:val="20"/>
        </w:rPr>
        <w:t xml:space="preserve"> </w:t>
      </w:r>
      <w:r>
        <w:rPr>
          <w:rStyle w:val="Refdenotaalfinal"/>
          <w:rFonts w:cs="Arial"/>
          <w:sz w:val="20"/>
          <w:szCs w:val="20"/>
        </w:rPr>
        <w:endnoteReference w:id="122"/>
      </w:r>
      <w:r w:rsidRPr="00EA1C9A">
        <w:rPr>
          <w:rFonts w:cs="Arial"/>
          <w:sz w:val="20"/>
          <w:szCs w:val="20"/>
        </w:rPr>
        <w:t>.</w:t>
      </w:r>
    </w:p>
    <w:p w:rsidR="00E81B3D" w:rsidRPr="00EA1C9A" w:rsidRDefault="00E81B3D" w:rsidP="00D340CD">
      <w:pPr>
        <w:spacing w:before="120" w:after="120"/>
        <w:ind w:left="993"/>
        <w:rPr>
          <w:rFonts w:cs="Arial"/>
          <w:sz w:val="20"/>
          <w:szCs w:val="20"/>
        </w:rPr>
      </w:pPr>
      <w:r w:rsidRPr="00EA1C9A">
        <w:rPr>
          <w:rFonts w:cs="Arial"/>
          <w:sz w:val="20"/>
          <w:szCs w:val="20"/>
        </w:rPr>
        <w:t>Los mecanismos involucrados en el daño renal inducido por el tabaco incluyen la disfunción de células endoteliales, la activación de factores de crecimiento (endotelina I, angiotensina II y TGF-β1), efectos tubulotóxicos, estrés oxidativo, alteraciones en la coagulación, resistencia a la insulina</w:t>
      </w:r>
      <w:r>
        <w:rPr>
          <w:rStyle w:val="Refdenotaalfinal"/>
          <w:rFonts w:cs="Arial"/>
          <w:sz w:val="20"/>
          <w:szCs w:val="20"/>
        </w:rPr>
        <w:endnoteReference w:id="123"/>
      </w:r>
      <w:r>
        <w:rPr>
          <w:rFonts w:cs="Arial"/>
          <w:sz w:val="20"/>
          <w:szCs w:val="20"/>
        </w:rPr>
        <w:t>. Ha</w:t>
      </w:r>
      <w:r w:rsidRPr="00EA1C9A">
        <w:rPr>
          <w:rFonts w:cs="Arial"/>
          <w:sz w:val="20"/>
          <w:szCs w:val="20"/>
        </w:rPr>
        <w:t>y estudios que relacionan el consumo de tabaco y la exposición en la alimentación a cadmio, plomo, sílice, mercurio y otros metales, de forma prolongada y su relación con disfunción tubular, acumulación en la corteza renal y aparición temprana de nefropatía diabética</w:t>
      </w:r>
      <w:r>
        <w:rPr>
          <w:rStyle w:val="Refdenotaalfinal"/>
          <w:rFonts w:cs="Arial"/>
          <w:sz w:val="20"/>
          <w:szCs w:val="20"/>
        </w:rPr>
        <w:endnoteReference w:id="124"/>
      </w:r>
      <w:r w:rsidRPr="00EA1C9A">
        <w:rPr>
          <w:rFonts w:cs="Arial"/>
          <w:sz w:val="20"/>
          <w:szCs w:val="20"/>
        </w:rPr>
        <w:t>.</w:t>
      </w:r>
    </w:p>
    <w:p w:rsidR="00E81B3D" w:rsidRPr="00EA1C9A" w:rsidRDefault="00E81B3D" w:rsidP="00D340CD">
      <w:pPr>
        <w:spacing w:before="120" w:after="120"/>
        <w:ind w:left="993"/>
        <w:rPr>
          <w:rFonts w:cs="Arial"/>
          <w:sz w:val="20"/>
          <w:szCs w:val="20"/>
        </w:rPr>
      </w:pPr>
      <w:r w:rsidRPr="00EA1C9A">
        <w:rPr>
          <w:rFonts w:cs="Arial"/>
          <w:sz w:val="20"/>
          <w:szCs w:val="20"/>
        </w:rPr>
        <w:t>La nicotina al intervenir en la elevación de la PA va a favorecer la progresión de la ERC. El aumento de la PA se debe a un incremento del gasto cardíaco y de la resistencia vascular periférica. En los fumadores parece estar alterado el ritmo circadiano de la PA y además el tabaco reduce el efecto de algunos antihipertensivos (beta bloqueantes, amlodipino)</w:t>
      </w:r>
      <w:r>
        <w:rPr>
          <w:rStyle w:val="Refdenotaalfinal"/>
          <w:rFonts w:cs="Arial"/>
          <w:sz w:val="20"/>
          <w:szCs w:val="20"/>
        </w:rPr>
        <w:endnoteReference w:id="125"/>
      </w:r>
      <w:r>
        <w:rPr>
          <w:rFonts w:cs="Arial"/>
          <w:sz w:val="20"/>
          <w:szCs w:val="20"/>
        </w:rPr>
        <w:t xml:space="preserve"> </w:t>
      </w:r>
      <w:r>
        <w:rPr>
          <w:rStyle w:val="Refdenotaalfinal"/>
          <w:rFonts w:cs="Arial"/>
          <w:sz w:val="20"/>
          <w:szCs w:val="20"/>
        </w:rPr>
        <w:endnoteReference w:id="126"/>
      </w:r>
      <w:r>
        <w:rPr>
          <w:rFonts w:cs="Arial"/>
          <w:sz w:val="20"/>
          <w:szCs w:val="20"/>
        </w:rPr>
        <w:t xml:space="preserve"> </w:t>
      </w:r>
      <w:r>
        <w:rPr>
          <w:rStyle w:val="Refdenotaalfinal"/>
          <w:rFonts w:cs="Arial"/>
          <w:sz w:val="20"/>
          <w:szCs w:val="20"/>
        </w:rPr>
        <w:endnoteReference w:id="127"/>
      </w:r>
      <w:r>
        <w:rPr>
          <w:rFonts w:cs="Arial"/>
          <w:sz w:val="20"/>
          <w:szCs w:val="20"/>
        </w:rPr>
        <w:t xml:space="preserve"> </w:t>
      </w:r>
      <w:r>
        <w:rPr>
          <w:rStyle w:val="Refdenotaalfinal"/>
          <w:rFonts w:cs="Arial"/>
          <w:sz w:val="20"/>
          <w:szCs w:val="20"/>
        </w:rPr>
        <w:endnoteReference w:id="128"/>
      </w:r>
      <w:r>
        <w:rPr>
          <w:rFonts w:cs="Arial"/>
          <w:sz w:val="20"/>
          <w:szCs w:val="20"/>
        </w:rPr>
        <w:t>.</w:t>
      </w:r>
    </w:p>
    <w:p w:rsidR="00E81B3D" w:rsidRPr="00EA1C9A" w:rsidRDefault="00E81B3D" w:rsidP="00D340CD">
      <w:pPr>
        <w:spacing w:before="120" w:after="120"/>
        <w:ind w:left="993"/>
        <w:rPr>
          <w:rFonts w:cs="Arial"/>
          <w:sz w:val="20"/>
          <w:szCs w:val="20"/>
        </w:rPr>
      </w:pPr>
      <w:r w:rsidRPr="00EA1C9A">
        <w:rPr>
          <w:rFonts w:cs="Arial"/>
          <w:sz w:val="20"/>
          <w:szCs w:val="20"/>
        </w:rPr>
        <w:t>Diversos hallazgos sobre las alteraciones inducidas por el tabaco en los riñones (engrosamiento pared arteriolar, proliferación de la íntima, a nivel sobre todo de la arteria renal y arteriolas intrarrenales),</w:t>
      </w:r>
      <w:r>
        <w:rPr>
          <w:rFonts w:cs="Arial"/>
          <w:sz w:val="20"/>
          <w:szCs w:val="20"/>
        </w:rPr>
        <w:t xml:space="preserve"> </w:t>
      </w:r>
      <w:r w:rsidRPr="00EA1C9A">
        <w:rPr>
          <w:rFonts w:cs="Arial"/>
          <w:sz w:val="20"/>
          <w:szCs w:val="20"/>
        </w:rPr>
        <w:t>parecen apoyar que la mayoría de las ERC en población fumadora se deben a nefroesclerosis</w:t>
      </w:r>
      <w:r>
        <w:rPr>
          <w:rFonts w:cs="Arial"/>
          <w:sz w:val="20"/>
          <w:szCs w:val="20"/>
        </w:rPr>
        <w:t xml:space="preserve"> </w:t>
      </w:r>
      <w:r>
        <w:rPr>
          <w:rStyle w:val="Refdenotaalfinal"/>
          <w:rFonts w:cs="Arial"/>
          <w:sz w:val="20"/>
          <w:szCs w:val="20"/>
        </w:rPr>
        <w:endnoteReference w:id="129"/>
      </w:r>
      <w:r>
        <w:rPr>
          <w:rFonts w:cs="Arial"/>
          <w:sz w:val="20"/>
          <w:szCs w:val="20"/>
        </w:rPr>
        <w:t>.</w:t>
      </w:r>
    </w:p>
    <w:p w:rsidR="00E81B3D" w:rsidRPr="00DA3051" w:rsidRDefault="00E81B3D" w:rsidP="00EA1C9A">
      <w:pPr>
        <w:numPr>
          <w:ilvl w:val="0"/>
          <w:numId w:val="2"/>
        </w:numPr>
        <w:spacing w:before="120" w:after="120"/>
        <w:ind w:left="1276" w:hanging="283"/>
        <w:rPr>
          <w:rFonts w:cs="Arial"/>
          <w:b/>
          <w:sz w:val="20"/>
          <w:szCs w:val="20"/>
        </w:rPr>
      </w:pPr>
      <w:r w:rsidRPr="00EA1C9A">
        <w:rPr>
          <w:rFonts w:cs="Arial"/>
          <w:b/>
          <w:sz w:val="20"/>
          <w:szCs w:val="20"/>
        </w:rPr>
        <w:t>Beneficios de dejar de fumar en pacientes renales</w:t>
      </w:r>
    </w:p>
    <w:p w:rsidR="00E81B3D" w:rsidRPr="00EA1C9A" w:rsidRDefault="00E81B3D" w:rsidP="00B74802">
      <w:pPr>
        <w:spacing w:before="120" w:after="120"/>
        <w:ind w:left="1276"/>
        <w:rPr>
          <w:rFonts w:cs="Arial"/>
          <w:sz w:val="20"/>
          <w:szCs w:val="20"/>
        </w:rPr>
      </w:pPr>
      <w:r w:rsidRPr="00C352B1">
        <w:rPr>
          <w:rFonts w:cs="Arial"/>
          <w:sz w:val="20"/>
          <w:szCs w:val="20"/>
        </w:rPr>
        <w:t xml:space="preserve">Algunos datos confirman los efectos beneficiosos del abandono del hábito tabáquico sobre la función renal. Disminución de la excreción de albumina en DM tipo 1 y nefropatía, Chase et al </w:t>
      </w:r>
      <w:r w:rsidRPr="00C352B1">
        <w:rPr>
          <w:rStyle w:val="Refdenotaalfinal"/>
          <w:rFonts w:cs="Arial"/>
          <w:sz w:val="20"/>
          <w:szCs w:val="20"/>
        </w:rPr>
        <w:endnoteReference w:id="130"/>
      </w:r>
      <w:r w:rsidRPr="00C352B1">
        <w:rPr>
          <w:rFonts w:cs="Arial"/>
          <w:sz w:val="20"/>
          <w:szCs w:val="20"/>
        </w:rPr>
        <w:t xml:space="preserve">. Sawickki y col </w:t>
      </w:r>
      <w:r w:rsidRPr="00C352B1">
        <w:rPr>
          <w:rStyle w:val="Refdenotaalfinal"/>
          <w:rFonts w:cs="Arial"/>
          <w:sz w:val="20"/>
          <w:szCs w:val="20"/>
        </w:rPr>
        <w:endnoteReference w:id="131"/>
      </w:r>
      <w:r w:rsidRPr="00C352B1">
        <w:rPr>
          <w:rFonts w:cs="Arial"/>
          <w:sz w:val="20"/>
          <w:szCs w:val="20"/>
        </w:rPr>
        <w:t xml:space="preserve"> observaron diferencias significativas en la progresión de la nefropatía diabética tanto DM1 como DM2 en el seguimiento de pacientes con DM tipo1 fumadores, ex fumadores y no fumadores.</w:t>
      </w:r>
    </w:p>
    <w:p w:rsidR="00E81B3D" w:rsidRDefault="00E81B3D" w:rsidP="00B74802">
      <w:pPr>
        <w:spacing w:before="120" w:after="120"/>
        <w:ind w:left="1276"/>
        <w:rPr>
          <w:rFonts w:cs="Arial"/>
          <w:sz w:val="20"/>
          <w:szCs w:val="20"/>
        </w:rPr>
      </w:pPr>
      <w:r w:rsidRPr="00EA1C9A">
        <w:rPr>
          <w:rFonts w:cs="Arial"/>
          <w:sz w:val="20"/>
          <w:szCs w:val="20"/>
        </w:rPr>
        <w:t>Por lo expuesto el abandono del tabaco en el paciente con enfermedad renal debe ser un objetivo prioritario en el manejo de estos pacientes.</w:t>
      </w:r>
    </w:p>
    <w:p w:rsidR="00E81B3D" w:rsidRPr="00DA3051" w:rsidRDefault="00E81B3D" w:rsidP="00567190">
      <w:pPr>
        <w:numPr>
          <w:ilvl w:val="0"/>
          <w:numId w:val="2"/>
        </w:numPr>
        <w:spacing w:before="120" w:after="120"/>
        <w:ind w:left="1276" w:hanging="283"/>
        <w:rPr>
          <w:rFonts w:cs="Arial"/>
          <w:b/>
          <w:sz w:val="20"/>
          <w:szCs w:val="20"/>
        </w:rPr>
      </w:pPr>
      <w:r w:rsidRPr="00567190">
        <w:rPr>
          <w:rFonts w:cs="Arial"/>
          <w:b/>
          <w:sz w:val="20"/>
          <w:szCs w:val="20"/>
        </w:rPr>
        <w:t>Estrategias para dejar de fumar en pacientes renales</w:t>
      </w:r>
    </w:p>
    <w:p w:rsidR="00E81B3D" w:rsidRPr="00567190" w:rsidRDefault="00E81B3D" w:rsidP="00B70169">
      <w:pPr>
        <w:spacing w:before="120" w:after="120"/>
        <w:ind w:left="1276"/>
        <w:rPr>
          <w:rFonts w:cs="Arial"/>
          <w:sz w:val="20"/>
          <w:szCs w:val="20"/>
        </w:rPr>
      </w:pPr>
      <w:r w:rsidRPr="00567190">
        <w:rPr>
          <w:rFonts w:cs="Arial"/>
          <w:sz w:val="20"/>
          <w:szCs w:val="20"/>
        </w:rPr>
        <w:t xml:space="preserve">Los sanitarios debemos intervenir sobre el tabaquismo de manera adecuada según la situación del paciente y en función de los recursos de que se disponga en el ámbito asistencial en el que realice </w:t>
      </w:r>
      <w:r>
        <w:rPr>
          <w:rFonts w:cs="Arial"/>
          <w:sz w:val="20"/>
          <w:szCs w:val="20"/>
        </w:rPr>
        <w:t xml:space="preserve">la intervención. </w:t>
      </w:r>
      <w:r w:rsidRPr="00567190">
        <w:rPr>
          <w:rFonts w:cs="Arial"/>
          <w:sz w:val="20"/>
          <w:szCs w:val="20"/>
        </w:rPr>
        <w:t>El tratamiento del tabaquismo incluye diversas intervenciones terapéuticas que han demostrado ser eficaces, desde el consejo mínimo hasta la atención intensiva con utilización de fármacos, junto con apoyo psicológico cognitivo-conductual individual o grupal.</w:t>
      </w:r>
    </w:p>
    <w:p w:rsidR="00E81B3D" w:rsidRDefault="00E81B3D" w:rsidP="00B70169">
      <w:pPr>
        <w:spacing w:before="120" w:after="120"/>
        <w:ind w:left="1276"/>
        <w:rPr>
          <w:rFonts w:cs="Arial"/>
          <w:sz w:val="20"/>
          <w:szCs w:val="20"/>
        </w:rPr>
      </w:pPr>
      <w:r w:rsidRPr="00567190">
        <w:rPr>
          <w:rFonts w:cs="Arial"/>
          <w:sz w:val="20"/>
          <w:szCs w:val="20"/>
        </w:rPr>
        <w:t>Cada fumador requiere de un tipo de intervención terapéutica que viene determinada por la fase en la que se encuentre, por su</w:t>
      </w:r>
      <w:r>
        <w:rPr>
          <w:rFonts w:cs="Arial"/>
          <w:sz w:val="20"/>
          <w:szCs w:val="20"/>
        </w:rPr>
        <w:t xml:space="preserve"> </w:t>
      </w:r>
      <w:r w:rsidRPr="00567190">
        <w:rPr>
          <w:rFonts w:cs="Arial"/>
          <w:sz w:val="20"/>
          <w:szCs w:val="20"/>
        </w:rPr>
        <w:t>grado de dependencia a la nicotina, por su motivación para dejar de fumar y por los recursos sanitarios existentes en cada medio</w:t>
      </w:r>
      <w:r>
        <w:rPr>
          <w:rFonts w:cs="Arial"/>
          <w:sz w:val="20"/>
          <w:szCs w:val="20"/>
        </w:rPr>
        <w:t>.</w:t>
      </w:r>
    </w:p>
    <w:p w:rsidR="00E81B3D" w:rsidRDefault="00E81B3D" w:rsidP="00B70169">
      <w:pPr>
        <w:spacing w:before="120" w:after="120"/>
        <w:ind w:left="1276"/>
        <w:rPr>
          <w:rFonts w:cs="Arial"/>
          <w:sz w:val="20"/>
          <w:szCs w:val="20"/>
        </w:rPr>
      </w:pPr>
      <w:r w:rsidRPr="00AF6AA0">
        <w:rPr>
          <w:rFonts w:cs="Arial"/>
          <w:sz w:val="20"/>
          <w:szCs w:val="20"/>
        </w:rPr>
        <w:t>Aunque algunos fumadores consiguen abandonar el tabaco por sí solos o con una mínima ayuda por parte del profesional sanitario, existen otros fumadores, la mayoría, en los que este tipo de intervenciones mínimas</w:t>
      </w:r>
      <w:r>
        <w:rPr>
          <w:rFonts w:cs="Arial"/>
          <w:sz w:val="20"/>
          <w:szCs w:val="20"/>
        </w:rPr>
        <w:t xml:space="preserve"> </w:t>
      </w:r>
      <w:r w:rsidRPr="00AF6AA0">
        <w:rPr>
          <w:rFonts w:cs="Arial"/>
          <w:sz w:val="20"/>
          <w:szCs w:val="20"/>
        </w:rPr>
        <w:t xml:space="preserve">no son efectivas. Se podría tratar de fumadores que están dispuestos a dejar de fumar y que han realizado varios intentos, pero la presencia de síntomas del síndrome de </w:t>
      </w:r>
      <w:r w:rsidRPr="00AF6AA0">
        <w:rPr>
          <w:rFonts w:cs="Arial"/>
          <w:sz w:val="20"/>
          <w:szCs w:val="20"/>
        </w:rPr>
        <w:lastRenderedPageBreak/>
        <w:t>abstinencia a la nicotina (SAN), les ha impedido abandonar definitivamente el consumo de cigarrillos. En estos casos está indicado el tratamiento farmacológico del tabaquismo.</w:t>
      </w:r>
    </w:p>
    <w:p w:rsidR="00E81B3D" w:rsidRDefault="00E81B3D" w:rsidP="00567190">
      <w:pPr>
        <w:spacing w:before="120" w:after="120"/>
        <w:ind w:left="1276"/>
        <w:rPr>
          <w:rFonts w:cs="Arial"/>
          <w:b/>
          <w:sz w:val="20"/>
          <w:szCs w:val="20"/>
        </w:rPr>
      </w:pPr>
    </w:p>
    <w:p w:rsidR="00E81B3D" w:rsidRPr="00DA3051" w:rsidRDefault="00E81B3D" w:rsidP="00567190">
      <w:pPr>
        <w:spacing w:before="120" w:after="120"/>
        <w:ind w:left="1276"/>
        <w:rPr>
          <w:rFonts w:cs="Arial"/>
          <w:b/>
          <w:sz w:val="20"/>
          <w:szCs w:val="20"/>
        </w:rPr>
      </w:pPr>
      <w:r w:rsidRPr="00567190">
        <w:rPr>
          <w:rFonts w:cs="Arial"/>
          <w:b/>
          <w:sz w:val="20"/>
          <w:szCs w:val="20"/>
        </w:rPr>
        <w:t>Tratamiento farmacológico</w:t>
      </w:r>
    </w:p>
    <w:p w:rsidR="00E81B3D" w:rsidRPr="00567190" w:rsidRDefault="00E81B3D" w:rsidP="00B70169">
      <w:pPr>
        <w:spacing w:before="120" w:after="120"/>
        <w:ind w:left="1276"/>
        <w:rPr>
          <w:rFonts w:cs="Arial"/>
          <w:sz w:val="20"/>
          <w:szCs w:val="20"/>
        </w:rPr>
      </w:pPr>
      <w:r w:rsidRPr="00567190">
        <w:rPr>
          <w:rFonts w:cs="Arial"/>
          <w:sz w:val="20"/>
          <w:szCs w:val="20"/>
        </w:rPr>
        <w:t xml:space="preserve">El principal objetivo de este tipo de tratamiento es controlar el padecimiento del síndrome de abstinencia a la nicotina. Sabemos que este síndrome es causa del 75-80% de las recaídas que sufren los fumadores cuando están haciendo un intento serio de dejar de fumar. En la actualidad, se dispone de tratamientos farmacológicos eficaces que ayudan a dejar de fumar, por ello a todo fumador que desee dejar de fumar se le debe ofertar un correcto tratamiento farmacológico. Estos tratamientos pueden ser utilizados por todos los fumadores que estén intentando dejar de fumar, excepto si presentan circunstancias especiales: los que presenten contraindicaciones, los que fumen menos de 10 cigarrillos al día, las mujeres gestantes o en período de lactancia y los menores de 18 años. </w:t>
      </w:r>
    </w:p>
    <w:p w:rsidR="00E81B3D" w:rsidRPr="00567190" w:rsidRDefault="00E81B3D" w:rsidP="00B70169">
      <w:pPr>
        <w:spacing w:before="120" w:after="120"/>
        <w:ind w:left="1276"/>
        <w:rPr>
          <w:rFonts w:cs="Arial"/>
          <w:sz w:val="20"/>
          <w:szCs w:val="20"/>
        </w:rPr>
      </w:pPr>
      <w:r w:rsidRPr="00567190">
        <w:rPr>
          <w:rFonts w:cs="Arial"/>
          <w:sz w:val="20"/>
          <w:szCs w:val="20"/>
        </w:rPr>
        <w:t>Actualmente los tratamientos farmacológicos de primera línea (aquellos que han demostrado</w:t>
      </w:r>
      <w:r>
        <w:rPr>
          <w:rFonts w:cs="Arial"/>
          <w:sz w:val="20"/>
          <w:szCs w:val="20"/>
        </w:rPr>
        <w:t xml:space="preserve"> </w:t>
      </w:r>
      <w:r w:rsidRPr="00567190">
        <w:rPr>
          <w:rFonts w:cs="Arial"/>
          <w:sz w:val="20"/>
          <w:szCs w:val="20"/>
        </w:rPr>
        <w:t>ser eficaces y seguros), que</w:t>
      </w:r>
      <w:r>
        <w:rPr>
          <w:rFonts w:cs="Arial"/>
          <w:sz w:val="20"/>
          <w:szCs w:val="20"/>
        </w:rPr>
        <w:t xml:space="preserve"> </w:t>
      </w:r>
      <w:r w:rsidRPr="00567190">
        <w:rPr>
          <w:rFonts w:cs="Arial"/>
          <w:sz w:val="20"/>
          <w:szCs w:val="20"/>
        </w:rPr>
        <w:t>están aprobados</w:t>
      </w:r>
      <w:r>
        <w:rPr>
          <w:rFonts w:cs="Arial"/>
          <w:sz w:val="20"/>
          <w:szCs w:val="20"/>
        </w:rPr>
        <w:t xml:space="preserve"> </w:t>
      </w:r>
      <w:r w:rsidRPr="00567190">
        <w:rPr>
          <w:rFonts w:cs="Arial"/>
          <w:sz w:val="20"/>
          <w:szCs w:val="20"/>
        </w:rPr>
        <w:t>para dejar de fumar son: la Terapia Sustitutiva con Nicotina,</w:t>
      </w:r>
      <w:r>
        <w:rPr>
          <w:rFonts w:cs="Arial"/>
          <w:sz w:val="20"/>
          <w:szCs w:val="20"/>
        </w:rPr>
        <w:t xml:space="preserve"> el Bupropión y la Vareniclina.</w:t>
      </w:r>
    </w:p>
    <w:p w:rsidR="00E81B3D" w:rsidRPr="00567190" w:rsidRDefault="00E81B3D" w:rsidP="00B70169">
      <w:pPr>
        <w:spacing w:before="120" w:after="120"/>
        <w:ind w:left="1276"/>
        <w:rPr>
          <w:rFonts w:cs="Arial"/>
          <w:sz w:val="20"/>
          <w:szCs w:val="20"/>
        </w:rPr>
      </w:pPr>
      <w:r w:rsidRPr="00567190">
        <w:rPr>
          <w:rFonts w:cs="Arial"/>
          <w:sz w:val="20"/>
          <w:szCs w:val="20"/>
        </w:rPr>
        <w:t>Diversos estudios señalan que la relación coste-efectividad de los tratamientos farmacológicos para dejar de fumar es significativamente mayor que la de los tratamientos para enfermedades crónicas como la hipertensión arterial o la hipercolesterol</w:t>
      </w:r>
      <w:r>
        <w:rPr>
          <w:rFonts w:cs="Arial"/>
          <w:sz w:val="20"/>
          <w:szCs w:val="20"/>
        </w:rPr>
        <w:t>emia</w:t>
      </w:r>
      <w:r>
        <w:rPr>
          <w:rStyle w:val="Refdenotaalfinal"/>
          <w:rFonts w:cs="Arial"/>
          <w:sz w:val="20"/>
          <w:szCs w:val="20"/>
        </w:rPr>
        <w:endnoteReference w:id="132"/>
      </w:r>
      <w:r w:rsidRPr="00567190">
        <w:rPr>
          <w:rFonts w:cs="Arial"/>
          <w:sz w:val="20"/>
          <w:szCs w:val="20"/>
        </w:rPr>
        <w:t>.</w:t>
      </w:r>
    </w:p>
    <w:p w:rsidR="00E81B3D" w:rsidRPr="00C352B1" w:rsidRDefault="00E81B3D" w:rsidP="00B70169">
      <w:pPr>
        <w:spacing w:before="120" w:after="120"/>
        <w:ind w:left="1276"/>
        <w:rPr>
          <w:rFonts w:cs="Arial"/>
          <w:sz w:val="20"/>
          <w:szCs w:val="20"/>
        </w:rPr>
      </w:pPr>
      <w:r w:rsidRPr="00C352B1">
        <w:rPr>
          <w:rFonts w:cs="Arial"/>
          <w:sz w:val="20"/>
          <w:szCs w:val="20"/>
        </w:rPr>
        <w:t>Existen fármacos de segunda línea en el tratamiento del tabaquismo, como la Clonidina y la Nortriptilina, que han demostrado ser efectivos para dejar de fumar pero con menor eficacia que los fármacos de primera línea.</w:t>
      </w:r>
      <w:r>
        <w:rPr>
          <w:rFonts w:cs="Arial"/>
          <w:sz w:val="20"/>
          <w:szCs w:val="20"/>
        </w:rPr>
        <w:t xml:space="preserve"> </w:t>
      </w:r>
      <w:r w:rsidRPr="00C352B1">
        <w:rPr>
          <w:rFonts w:cs="Arial"/>
          <w:sz w:val="20"/>
          <w:szCs w:val="20"/>
        </w:rPr>
        <w:t>Por otra parte, los efectos adversos asociados a estos tratamientos limitan su uso. En la actualidad, los fármacos de segunda línea estarían indicados para los pacientes que han sido incapaces de dejar de fumar con los de primera línea o que presentan contraindicación para utilizarlos.</w:t>
      </w:r>
    </w:p>
    <w:p w:rsidR="00E81B3D" w:rsidRDefault="00E81B3D" w:rsidP="00B70169">
      <w:pPr>
        <w:spacing w:before="120" w:after="120"/>
        <w:ind w:left="1276"/>
        <w:rPr>
          <w:rFonts w:cs="Arial"/>
          <w:sz w:val="20"/>
          <w:szCs w:val="20"/>
        </w:rPr>
      </w:pPr>
      <w:r w:rsidRPr="00C352B1">
        <w:rPr>
          <w:rFonts w:cs="Arial"/>
          <w:sz w:val="20"/>
          <w:szCs w:val="20"/>
        </w:rPr>
        <w:t>En pacientes con enfermedad renal</w:t>
      </w:r>
      <w:r w:rsidRPr="00567190">
        <w:rPr>
          <w:rFonts w:cs="Arial"/>
          <w:sz w:val="20"/>
          <w:szCs w:val="20"/>
        </w:rPr>
        <w:t xml:space="preserve"> parece segura la utilización de terapia de sustitución de nicotina (parches, chicles, caramelos) y su asociación con Bupropion</w:t>
      </w:r>
      <w:r>
        <w:rPr>
          <w:rFonts w:cs="Arial"/>
          <w:sz w:val="20"/>
          <w:szCs w:val="20"/>
        </w:rPr>
        <w:t xml:space="preserve"> </w:t>
      </w:r>
      <w:r w:rsidRPr="00567190">
        <w:rPr>
          <w:rFonts w:cs="Arial"/>
          <w:sz w:val="20"/>
          <w:szCs w:val="20"/>
        </w:rPr>
        <w:t>a dosis más bajas de la habitual (150 mg/24h) en fases avanzad</w:t>
      </w:r>
      <w:r>
        <w:rPr>
          <w:rFonts w:cs="Arial"/>
          <w:sz w:val="20"/>
          <w:szCs w:val="20"/>
        </w:rPr>
        <w:t>as de la enfermedad. El uso de V</w:t>
      </w:r>
      <w:r w:rsidRPr="00567190">
        <w:rPr>
          <w:rFonts w:cs="Arial"/>
          <w:sz w:val="20"/>
          <w:szCs w:val="20"/>
        </w:rPr>
        <w:t>areniclina a dosis habituales pare</w:t>
      </w:r>
      <w:r>
        <w:rPr>
          <w:rFonts w:cs="Arial"/>
          <w:sz w:val="20"/>
          <w:szCs w:val="20"/>
        </w:rPr>
        <w:t>ce seguro e igualmente que con B</w:t>
      </w:r>
      <w:r w:rsidRPr="00567190">
        <w:rPr>
          <w:rFonts w:cs="Arial"/>
          <w:sz w:val="20"/>
          <w:szCs w:val="20"/>
        </w:rPr>
        <w:t>upropion se pueden utilizar a mitad de dosis (1 mg/24h) que en pacientes con función renal moderadamente disminuida y población general</w:t>
      </w:r>
      <w:r>
        <w:rPr>
          <w:rStyle w:val="Refdenotaalfinal"/>
          <w:sz w:val="20"/>
          <w:szCs w:val="20"/>
        </w:rPr>
        <w:endnoteReference w:id="133"/>
      </w:r>
      <w:r>
        <w:rPr>
          <w:rFonts w:cs="Arial"/>
          <w:sz w:val="20"/>
          <w:szCs w:val="20"/>
        </w:rPr>
        <w:t xml:space="preserve">. </w:t>
      </w:r>
    </w:p>
    <w:p w:rsidR="00E81B3D" w:rsidRDefault="00E81B3D" w:rsidP="00B70169">
      <w:pPr>
        <w:spacing w:before="120" w:after="120"/>
        <w:ind w:left="1276"/>
        <w:rPr>
          <w:rFonts w:cs="Arial"/>
          <w:sz w:val="20"/>
          <w:szCs w:val="20"/>
        </w:rPr>
      </w:pPr>
    </w:p>
    <w:p w:rsidR="00E81B3D" w:rsidRPr="00215D7C" w:rsidRDefault="00E81B3D" w:rsidP="00B62C24">
      <w:pPr>
        <w:pStyle w:val="Ttulo2"/>
        <w:ind w:left="993" w:hanging="426"/>
        <w:rPr>
          <w:rFonts w:ascii="Arial" w:hAnsi="Arial" w:cs="Arial"/>
          <w:i w:val="0"/>
          <w:sz w:val="20"/>
          <w:szCs w:val="20"/>
        </w:rPr>
      </w:pPr>
      <w:bookmarkStart w:id="58" w:name="_Toc316486472"/>
      <w:bookmarkStart w:id="59" w:name="_Toc316486571"/>
      <w:bookmarkStart w:id="60" w:name="_Toc341725532"/>
      <w:r w:rsidRPr="00215D7C">
        <w:rPr>
          <w:rFonts w:ascii="Arial" w:hAnsi="Arial" w:cs="Arial"/>
          <w:i w:val="0"/>
          <w:sz w:val="20"/>
          <w:szCs w:val="20"/>
        </w:rPr>
        <w:t>Obesidad.</w:t>
      </w:r>
      <w:bookmarkEnd w:id="58"/>
      <w:bookmarkEnd w:id="59"/>
      <w:bookmarkEnd w:id="60"/>
    </w:p>
    <w:p w:rsidR="00E81B3D" w:rsidRPr="00EA1C9A" w:rsidRDefault="00E81B3D" w:rsidP="00B70169">
      <w:pPr>
        <w:spacing w:before="120" w:after="120"/>
        <w:ind w:left="993"/>
        <w:rPr>
          <w:rFonts w:cs="Arial"/>
          <w:sz w:val="20"/>
          <w:szCs w:val="20"/>
        </w:rPr>
      </w:pPr>
      <w:r w:rsidRPr="00EA1C9A">
        <w:rPr>
          <w:rFonts w:cs="Arial"/>
          <w:sz w:val="20"/>
          <w:szCs w:val="20"/>
        </w:rPr>
        <w:t>Datos experimentales y clínicos muestran que la obesidad produce una serie de cambios hemodinámicos, estructurales y funcionales</w:t>
      </w:r>
      <w:r>
        <w:rPr>
          <w:rFonts w:cs="Arial"/>
          <w:sz w:val="20"/>
          <w:szCs w:val="20"/>
        </w:rPr>
        <w:t xml:space="preserve"> </w:t>
      </w:r>
      <w:r w:rsidRPr="00EA1C9A">
        <w:rPr>
          <w:rFonts w:cs="Arial"/>
          <w:sz w:val="20"/>
          <w:szCs w:val="20"/>
        </w:rPr>
        <w:t>del riñón, que pueden favorecer la ERC</w:t>
      </w:r>
      <w:r>
        <w:rPr>
          <w:rFonts w:cs="Arial"/>
          <w:sz w:val="20"/>
          <w:szCs w:val="20"/>
        </w:rPr>
        <w:t xml:space="preserve"> </w:t>
      </w:r>
      <w:r>
        <w:rPr>
          <w:rStyle w:val="Refdenotaalfinal"/>
          <w:rFonts w:cs="Arial"/>
          <w:sz w:val="20"/>
          <w:szCs w:val="20"/>
        </w:rPr>
        <w:endnoteReference w:id="134"/>
      </w:r>
      <w:r>
        <w:rPr>
          <w:rFonts w:cs="Arial"/>
          <w:sz w:val="20"/>
          <w:szCs w:val="20"/>
        </w:rPr>
        <w:t xml:space="preserve"> </w:t>
      </w:r>
      <w:r>
        <w:rPr>
          <w:rStyle w:val="Refdenotaalfinal"/>
          <w:rFonts w:cs="Arial"/>
          <w:sz w:val="20"/>
          <w:szCs w:val="20"/>
        </w:rPr>
        <w:endnoteReference w:id="135"/>
      </w:r>
      <w:r w:rsidRPr="00EA1C9A">
        <w:rPr>
          <w:rFonts w:cs="Arial"/>
          <w:sz w:val="20"/>
          <w:szCs w:val="20"/>
        </w:rPr>
        <w:t>. Estos cambios se relacionan con el estímulo del sistema adrenérgico y del sistema renina-angiotensina y con modificaciones de la fisiología de leptina y adiponectina</w:t>
      </w:r>
      <w:r>
        <w:rPr>
          <w:rFonts w:cs="Arial"/>
          <w:sz w:val="20"/>
          <w:szCs w:val="20"/>
        </w:rPr>
        <w:t xml:space="preserve"> </w:t>
      </w:r>
      <w:r>
        <w:rPr>
          <w:rStyle w:val="Refdenotaalfinal"/>
          <w:rFonts w:cs="Arial"/>
          <w:sz w:val="20"/>
          <w:szCs w:val="20"/>
        </w:rPr>
        <w:endnoteReference w:id="136"/>
      </w:r>
      <w:r w:rsidRPr="00EA1C9A">
        <w:rPr>
          <w:rFonts w:cs="Arial"/>
          <w:sz w:val="20"/>
          <w:szCs w:val="20"/>
        </w:rPr>
        <w:t xml:space="preserve">. Un </w:t>
      </w:r>
      <w:r>
        <w:rPr>
          <w:rFonts w:cs="Arial"/>
          <w:sz w:val="20"/>
          <w:szCs w:val="20"/>
        </w:rPr>
        <w:t>meta-</w:t>
      </w:r>
      <w:r w:rsidRPr="00EA1C9A">
        <w:rPr>
          <w:rFonts w:cs="Arial"/>
          <w:sz w:val="20"/>
          <w:szCs w:val="20"/>
        </w:rPr>
        <w:t>análisis demostró la existencia de asociación entre sobrepeso y obesidad y pérdida de función renal, y que la obesidad favorece la pérdida de función en pacientes con ERC</w:t>
      </w:r>
      <w:r>
        <w:rPr>
          <w:rStyle w:val="Refdenotaalfinal"/>
          <w:rFonts w:cs="Arial"/>
          <w:sz w:val="20"/>
          <w:szCs w:val="20"/>
        </w:rPr>
        <w:endnoteReference w:id="137"/>
      </w:r>
      <w:r w:rsidRPr="00EA1C9A">
        <w:rPr>
          <w:rFonts w:cs="Arial"/>
          <w:sz w:val="20"/>
          <w:szCs w:val="20"/>
        </w:rPr>
        <w:t>.</w:t>
      </w:r>
    </w:p>
    <w:p w:rsidR="00E81B3D" w:rsidRPr="00EA1C9A" w:rsidRDefault="00E81B3D" w:rsidP="00B70169">
      <w:pPr>
        <w:spacing w:before="120" w:after="120"/>
        <w:ind w:left="993"/>
        <w:rPr>
          <w:rFonts w:cs="Arial"/>
          <w:sz w:val="20"/>
          <w:szCs w:val="20"/>
        </w:rPr>
      </w:pPr>
      <w:r w:rsidRPr="00EA1C9A">
        <w:rPr>
          <w:rFonts w:cs="Arial"/>
          <w:sz w:val="20"/>
          <w:szCs w:val="20"/>
        </w:rPr>
        <w:t xml:space="preserve">Hay pocos ensayos clínicos especialmente diseñados, pero existen datos que apoyan que la reducción de peso y de la ingesta de grasas puede disminuir el riesgo de ERC. Por ejemplo, en pacientes </w:t>
      </w:r>
      <w:r>
        <w:rPr>
          <w:rFonts w:cs="Arial"/>
          <w:sz w:val="20"/>
          <w:szCs w:val="20"/>
        </w:rPr>
        <w:t>con diabetes y obesidad</w:t>
      </w:r>
      <w:r w:rsidRPr="00EA1C9A">
        <w:rPr>
          <w:rFonts w:cs="Arial"/>
          <w:sz w:val="20"/>
          <w:szCs w:val="20"/>
        </w:rPr>
        <w:t xml:space="preserve">, la pérdida de peso produce reducción de la </w:t>
      </w:r>
      <w:r>
        <w:rPr>
          <w:rFonts w:cs="Arial"/>
          <w:sz w:val="20"/>
          <w:szCs w:val="20"/>
        </w:rPr>
        <w:t>excreción urinaria de albúmina</w:t>
      </w:r>
      <w:r w:rsidRPr="00EA1C9A">
        <w:rPr>
          <w:rFonts w:cs="Arial"/>
          <w:sz w:val="20"/>
          <w:szCs w:val="20"/>
        </w:rPr>
        <w:t>. Además, un metaanálisis de 33 ensayos puso de manifiesto la efectividad de la reducción de peso en obesos con ERC, e incluso la utilidad de la cirugía bariátrica para mejorar la función renal de pacientes con ERC y obesidad mórbida</w:t>
      </w:r>
      <w:r>
        <w:rPr>
          <w:rStyle w:val="Refdenotaalfinal"/>
          <w:rFonts w:cs="Arial"/>
          <w:sz w:val="20"/>
          <w:szCs w:val="20"/>
        </w:rPr>
        <w:endnoteReference w:id="138"/>
      </w:r>
      <w:r w:rsidRPr="00EA1C9A">
        <w:rPr>
          <w:rFonts w:cs="Arial"/>
          <w:sz w:val="20"/>
          <w:szCs w:val="20"/>
        </w:rPr>
        <w:t>.</w:t>
      </w:r>
    </w:p>
    <w:p w:rsidR="00E81B3D" w:rsidRPr="00C352B1" w:rsidRDefault="00E81B3D" w:rsidP="00B70169">
      <w:pPr>
        <w:spacing w:before="120" w:after="120"/>
        <w:ind w:left="993"/>
        <w:rPr>
          <w:rFonts w:cs="Arial"/>
          <w:sz w:val="20"/>
          <w:szCs w:val="20"/>
        </w:rPr>
      </w:pPr>
      <w:r w:rsidRPr="00EA1C9A">
        <w:rPr>
          <w:rFonts w:cs="Arial"/>
          <w:sz w:val="20"/>
          <w:szCs w:val="20"/>
        </w:rPr>
        <w:t xml:space="preserve">El mecanismo por el cual la reducción de peso mejora la función renal es plural: mejor control de la presión arterial, mejora del perfil lipídico y de la glucemia, </w:t>
      </w:r>
      <w:r w:rsidRPr="00C352B1">
        <w:rPr>
          <w:rFonts w:cs="Arial"/>
          <w:sz w:val="20"/>
          <w:szCs w:val="20"/>
        </w:rPr>
        <w:t xml:space="preserve">aumento de la sensibilidad a la insulina, reversión de la hiperfiltración glomerular e inhibición del sistema renina-angiotensina </w:t>
      </w:r>
      <w:r w:rsidRPr="00C352B1">
        <w:rPr>
          <w:rStyle w:val="Refdenotaalfinal"/>
          <w:rFonts w:cs="Arial"/>
          <w:sz w:val="20"/>
          <w:szCs w:val="20"/>
        </w:rPr>
        <w:endnoteReference w:id="139"/>
      </w:r>
      <w:r w:rsidRPr="00C352B1">
        <w:rPr>
          <w:rFonts w:cs="Arial"/>
          <w:sz w:val="20"/>
          <w:szCs w:val="20"/>
        </w:rPr>
        <w:t>. Por otra parte, los cambios en la fisiología renal inducidos por la obesidad son reversibles, por lo que la disminución de peso puede mejorar la función renal de los obesos y esta recomendación debe formar parte del tratamiento de los pacientes con ERC y sobrepeso u obesidad. Dada la tendencia a retener fluidos de estos pacientes debe considerarse también la restricción de sal en la dieta.</w:t>
      </w:r>
    </w:p>
    <w:p w:rsidR="00E81B3D" w:rsidRPr="00D13209" w:rsidRDefault="00E81B3D" w:rsidP="00B70169">
      <w:pPr>
        <w:spacing w:before="120" w:after="120"/>
        <w:ind w:left="993"/>
        <w:rPr>
          <w:rFonts w:cs="Arial"/>
          <w:sz w:val="20"/>
          <w:szCs w:val="20"/>
        </w:rPr>
      </w:pPr>
      <w:r w:rsidRPr="00D13209">
        <w:rPr>
          <w:rFonts w:cs="Arial"/>
          <w:sz w:val="20"/>
          <w:szCs w:val="20"/>
        </w:rPr>
        <w:lastRenderedPageBreak/>
        <w:t>El tratamiento de la obesidad en pacientes con ERC debe ser no farmacológico y consistir en la realización de ejercicio físico y en una dieta hipocalórica siguiendo las recomendaciones del apartado correspondiente de esta guía.</w:t>
      </w:r>
    </w:p>
    <w:p w:rsidR="00E81B3D" w:rsidRDefault="00E81B3D" w:rsidP="00DF3A25">
      <w:pPr>
        <w:spacing w:before="120" w:after="120"/>
        <w:ind w:left="993"/>
        <w:rPr>
          <w:rFonts w:cs="Arial"/>
          <w:sz w:val="20"/>
          <w:szCs w:val="20"/>
        </w:rPr>
      </w:pPr>
      <w:r w:rsidRPr="00D13209">
        <w:rPr>
          <w:rFonts w:cs="Arial"/>
          <w:sz w:val="20"/>
          <w:szCs w:val="20"/>
        </w:rPr>
        <w:t xml:space="preserve">En cuanto al uso de fármacos, en este momento en España hay un único medicamento autorizado para el </w:t>
      </w:r>
      <w:r w:rsidRPr="00DF3A25">
        <w:rPr>
          <w:rFonts w:cs="Arial"/>
          <w:sz w:val="20"/>
          <w:szCs w:val="20"/>
        </w:rPr>
        <w:t xml:space="preserve">tratamiento de la obesidad, el orlistat, cuyo mecanismo de acción es la inhibición de lipasas digestivas y como consecuencia se inhibe la absorción de las grasas de la dieta. Sólo es eficaz en personas </w:t>
      </w:r>
      <w:r w:rsidRPr="00445FDC">
        <w:rPr>
          <w:rFonts w:cs="Arial"/>
          <w:sz w:val="20"/>
          <w:szCs w:val="20"/>
        </w:rPr>
        <w:t>en cuya dieta haya al menos un 30% de grasas. Presenta interacciones con numerosos fármacos y no ha sido estudiado en pacientes con ERC, por lo que no parece aconsejable su utilización en este tipo de pacientes.</w:t>
      </w:r>
    </w:p>
    <w:p w:rsidR="00E81B3D" w:rsidRDefault="00E81B3D" w:rsidP="00DF3A25">
      <w:pPr>
        <w:spacing w:before="120" w:after="120"/>
        <w:ind w:left="993"/>
        <w:rPr>
          <w:rFonts w:cs="Arial"/>
          <w:sz w:val="20"/>
          <w:szCs w:val="20"/>
        </w:rPr>
      </w:pPr>
    </w:p>
    <w:p w:rsidR="00E81B3D" w:rsidRPr="0099669D" w:rsidRDefault="00E81B3D" w:rsidP="00863413">
      <w:pPr>
        <w:pStyle w:val="Ttulo2"/>
        <w:ind w:left="993" w:hanging="426"/>
        <w:rPr>
          <w:rFonts w:ascii="Arial" w:hAnsi="Arial" w:cs="Arial"/>
          <w:i w:val="0"/>
          <w:sz w:val="20"/>
          <w:szCs w:val="20"/>
        </w:rPr>
      </w:pPr>
      <w:bookmarkStart w:id="61" w:name="_Toc341725533"/>
      <w:r w:rsidRPr="0099669D">
        <w:rPr>
          <w:rFonts w:ascii="Arial" w:hAnsi="Arial" w:cs="Arial"/>
          <w:i w:val="0"/>
          <w:sz w:val="20"/>
          <w:szCs w:val="20"/>
        </w:rPr>
        <w:t>Antigregación.</w:t>
      </w:r>
      <w:bookmarkEnd w:id="61"/>
    </w:p>
    <w:p w:rsidR="00E81B3D" w:rsidRPr="00445FDC" w:rsidRDefault="00E81B3D" w:rsidP="00DF3A25">
      <w:pPr>
        <w:spacing w:before="120" w:after="120"/>
        <w:ind w:left="993"/>
        <w:rPr>
          <w:rFonts w:cs="Arial"/>
          <w:sz w:val="20"/>
          <w:szCs w:val="20"/>
        </w:rPr>
      </w:pPr>
      <w:r>
        <w:rPr>
          <w:rFonts w:cs="Arial"/>
          <w:sz w:val="20"/>
          <w:szCs w:val="20"/>
        </w:rPr>
        <w:t>L</w:t>
      </w:r>
      <w:r w:rsidRPr="00663ACA">
        <w:rPr>
          <w:rFonts w:cs="Arial"/>
          <w:sz w:val="20"/>
          <w:szCs w:val="20"/>
        </w:rPr>
        <w:t xml:space="preserve">as </w:t>
      </w:r>
      <w:r>
        <w:rPr>
          <w:rFonts w:cs="Arial"/>
          <w:sz w:val="20"/>
          <w:szCs w:val="20"/>
        </w:rPr>
        <w:t xml:space="preserve">guías </w:t>
      </w:r>
      <w:r w:rsidRPr="00663ACA">
        <w:rPr>
          <w:rFonts w:cs="Arial"/>
          <w:sz w:val="20"/>
          <w:szCs w:val="20"/>
        </w:rPr>
        <w:t>KDIGO sugieren el uso de antiagregantes en pacientes con ERC con riesgo de complicaciones ateroscl</w:t>
      </w:r>
      <w:r>
        <w:rPr>
          <w:rFonts w:cs="Arial"/>
          <w:sz w:val="20"/>
          <w:szCs w:val="20"/>
        </w:rPr>
        <w:t>eróticas siempre</w:t>
      </w:r>
      <w:r w:rsidRPr="00663ACA">
        <w:rPr>
          <w:rFonts w:cs="Arial"/>
          <w:sz w:val="20"/>
          <w:szCs w:val="20"/>
        </w:rPr>
        <w:t xml:space="preserve"> y cuando su riesgo de sangrado no supere el beneficio esperad</w:t>
      </w:r>
      <w:r>
        <w:rPr>
          <w:rFonts w:cs="Arial"/>
          <w:sz w:val="20"/>
          <w:szCs w:val="20"/>
        </w:rPr>
        <w:t>o. Esta recomendación es de difí</w:t>
      </w:r>
      <w:r w:rsidRPr="00663ACA">
        <w:rPr>
          <w:rFonts w:cs="Arial"/>
          <w:sz w:val="20"/>
          <w:szCs w:val="20"/>
        </w:rPr>
        <w:t>cil aplicación clínica dado que el paciente con ERC cumple ambas condiciones, por lo que es particularmente importante la individualización.</w:t>
      </w:r>
      <w:r>
        <w:rPr>
          <w:rFonts w:cs="Arial"/>
          <w:sz w:val="20"/>
          <w:szCs w:val="20"/>
        </w:rPr>
        <w:t xml:space="preserve"> </w:t>
      </w:r>
      <w:r w:rsidRPr="00663ACA">
        <w:rPr>
          <w:rFonts w:cs="Arial"/>
          <w:sz w:val="20"/>
          <w:szCs w:val="20"/>
        </w:rPr>
        <w:t>En caso de utilizarse</w:t>
      </w:r>
      <w:r>
        <w:rPr>
          <w:rFonts w:cs="Arial"/>
          <w:sz w:val="20"/>
          <w:szCs w:val="20"/>
        </w:rPr>
        <w:t>,  no deberá</w:t>
      </w:r>
      <w:r w:rsidRPr="00663ACA">
        <w:rPr>
          <w:rFonts w:cs="Arial"/>
          <w:sz w:val="20"/>
          <w:szCs w:val="20"/>
        </w:rPr>
        <w:t>n superarse las dosis de 100 mg/d</w:t>
      </w:r>
      <w:r>
        <w:rPr>
          <w:rFonts w:cs="Arial"/>
          <w:sz w:val="20"/>
          <w:szCs w:val="20"/>
        </w:rPr>
        <w:t>ía de ácido acetilsalicílico</w:t>
      </w:r>
      <w:r w:rsidRPr="00663ACA">
        <w:rPr>
          <w:rFonts w:cs="Arial"/>
          <w:sz w:val="20"/>
          <w:szCs w:val="20"/>
        </w:rPr>
        <w:t>.</w:t>
      </w:r>
    </w:p>
    <w:p w:rsidR="00E81B3D" w:rsidRPr="00445FDC" w:rsidRDefault="00E81B3D" w:rsidP="00DF3A25">
      <w:pPr>
        <w:spacing w:before="120" w:after="120"/>
        <w:ind w:left="993"/>
        <w:rPr>
          <w:rFonts w:cs="Arial"/>
          <w:sz w:val="20"/>
          <w:szCs w:val="20"/>
        </w:rPr>
      </w:pPr>
    </w:p>
    <w:p w:rsidR="00E81B3D" w:rsidRPr="00445FDC" w:rsidRDefault="00E81B3D" w:rsidP="00863413">
      <w:pPr>
        <w:pStyle w:val="Ttulo2"/>
        <w:ind w:left="993" w:hanging="426"/>
        <w:rPr>
          <w:rFonts w:ascii="Arial" w:hAnsi="Arial" w:cs="Arial"/>
          <w:i w:val="0"/>
          <w:sz w:val="20"/>
          <w:szCs w:val="20"/>
        </w:rPr>
      </w:pPr>
      <w:bookmarkStart w:id="62" w:name="_Toc316486473"/>
      <w:bookmarkStart w:id="63" w:name="_Toc316486572"/>
      <w:bookmarkStart w:id="64" w:name="_Toc341725534"/>
      <w:r w:rsidRPr="00445FDC">
        <w:rPr>
          <w:rFonts w:ascii="Arial" w:hAnsi="Arial" w:cs="Arial"/>
          <w:i w:val="0"/>
          <w:sz w:val="20"/>
          <w:szCs w:val="20"/>
        </w:rPr>
        <w:t>Hiperuricemia.</w:t>
      </w:r>
      <w:bookmarkEnd w:id="62"/>
      <w:bookmarkEnd w:id="63"/>
      <w:bookmarkEnd w:id="64"/>
    </w:p>
    <w:p w:rsidR="00E81B3D" w:rsidRPr="00C352B1" w:rsidRDefault="00E81B3D" w:rsidP="004C67AB">
      <w:pPr>
        <w:spacing w:before="120" w:after="120"/>
        <w:ind w:left="993"/>
        <w:rPr>
          <w:rFonts w:cs="Arial"/>
          <w:sz w:val="20"/>
          <w:szCs w:val="20"/>
        </w:rPr>
      </w:pPr>
      <w:r w:rsidRPr="00445FDC">
        <w:rPr>
          <w:rFonts w:cs="Arial"/>
          <w:sz w:val="20"/>
          <w:szCs w:val="20"/>
        </w:rPr>
        <w:t>La hiperuricemia se define como el aumento de la concentración de ácido úrico por encima de su límite de solubilidad en suero. Esto ocurre en los varones con concentraciones de ácido úrico superiores a 7 mg/dl y en las mujeres, por efecto estrogénico</w:t>
      </w:r>
      <w:r w:rsidRPr="00C352B1">
        <w:rPr>
          <w:rFonts w:cs="Arial"/>
          <w:sz w:val="20"/>
          <w:szCs w:val="20"/>
        </w:rPr>
        <w:t>, con concentraciones superiores</w:t>
      </w:r>
      <w:r w:rsidRPr="00E1385B">
        <w:rPr>
          <w:rFonts w:cs="Arial"/>
          <w:sz w:val="20"/>
          <w:szCs w:val="20"/>
        </w:rPr>
        <w:t xml:space="preserve"> a</w:t>
      </w:r>
      <w:r>
        <w:rPr>
          <w:rFonts w:cs="Arial"/>
          <w:sz w:val="20"/>
          <w:szCs w:val="20"/>
        </w:rPr>
        <w:t xml:space="preserve"> </w:t>
      </w:r>
      <w:r w:rsidRPr="00E1385B">
        <w:rPr>
          <w:rFonts w:cs="Arial"/>
          <w:sz w:val="20"/>
          <w:szCs w:val="20"/>
        </w:rPr>
        <w:t xml:space="preserve">6 mg/dl. La hiperuricemia puede ser asintomática u ocasionar las enfermedades que quedan reflejadas en la </w:t>
      </w:r>
      <w:r w:rsidRPr="00E1385B">
        <w:rPr>
          <w:rFonts w:cs="Arial"/>
          <w:b/>
          <w:sz w:val="20"/>
          <w:szCs w:val="20"/>
        </w:rPr>
        <w:t xml:space="preserve">tabla </w:t>
      </w:r>
      <w:r>
        <w:rPr>
          <w:rFonts w:cs="Arial"/>
          <w:b/>
          <w:sz w:val="20"/>
          <w:szCs w:val="20"/>
        </w:rPr>
        <w:t>12</w:t>
      </w:r>
      <w:r w:rsidRPr="00E1385B">
        <w:rPr>
          <w:rFonts w:cs="Arial"/>
          <w:sz w:val="20"/>
          <w:szCs w:val="20"/>
        </w:rPr>
        <w:t xml:space="preserve">. Se ha descrito un aumento del </w:t>
      </w:r>
      <w:r w:rsidRPr="00C352B1">
        <w:rPr>
          <w:rFonts w:cs="Arial"/>
          <w:sz w:val="20"/>
          <w:szCs w:val="20"/>
        </w:rPr>
        <w:t>riesgo cardiovascular con concentraciones de ácido úrico en el límite alto de la normalidad, por encima de 5,2 mg/dl</w:t>
      </w:r>
      <w:r w:rsidRPr="00C352B1">
        <w:rPr>
          <w:rStyle w:val="Refdenotaalfinal"/>
          <w:rFonts w:cs="Arial"/>
          <w:sz w:val="20"/>
          <w:szCs w:val="20"/>
        </w:rPr>
        <w:endnoteReference w:id="140"/>
      </w:r>
      <w:r w:rsidRPr="00C352B1">
        <w:rPr>
          <w:rFonts w:cs="Arial"/>
          <w:sz w:val="20"/>
          <w:szCs w:val="20"/>
        </w:rPr>
        <w:t xml:space="preserve"> </w:t>
      </w:r>
      <w:r w:rsidRPr="00C352B1">
        <w:rPr>
          <w:rStyle w:val="Refdenotaalfinal"/>
          <w:rFonts w:cs="Arial"/>
          <w:sz w:val="20"/>
          <w:szCs w:val="20"/>
        </w:rPr>
        <w:endnoteReference w:id="141"/>
      </w:r>
      <w:r w:rsidRPr="00C352B1">
        <w:rPr>
          <w:rFonts w:cs="Arial"/>
          <w:sz w:val="20"/>
          <w:szCs w:val="20"/>
        </w:rPr>
        <w:t>.</w:t>
      </w:r>
    </w:p>
    <w:p w:rsidR="00651852" w:rsidRDefault="00651852" w:rsidP="00904912">
      <w:pPr>
        <w:spacing w:before="120" w:after="120"/>
        <w:ind w:left="993"/>
        <w:jc w:val="left"/>
        <w:rPr>
          <w:rFonts w:cs="Arial"/>
          <w:b/>
          <w:sz w:val="18"/>
          <w:szCs w:val="18"/>
        </w:rPr>
      </w:pPr>
    </w:p>
    <w:p w:rsidR="00E81B3D" w:rsidRDefault="00E81B3D" w:rsidP="00904912">
      <w:pPr>
        <w:spacing w:before="120" w:after="120"/>
        <w:ind w:left="993"/>
        <w:jc w:val="left"/>
        <w:rPr>
          <w:rFonts w:cs="Arial"/>
          <w:b/>
          <w:sz w:val="18"/>
          <w:szCs w:val="18"/>
        </w:rPr>
      </w:pPr>
      <w:r>
        <w:rPr>
          <w:rFonts w:cs="Arial"/>
          <w:b/>
          <w:sz w:val="18"/>
          <w:szCs w:val="18"/>
        </w:rPr>
        <w:t>Tabla 12</w:t>
      </w:r>
      <w:r w:rsidRPr="00E1385B">
        <w:rPr>
          <w:rFonts w:cs="Arial"/>
          <w:b/>
          <w:sz w:val="18"/>
          <w:szCs w:val="18"/>
        </w:rPr>
        <w:t>. ENFERMEDADES SECUNDARIAS A HIPERURICEMIA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E81B3D" w:rsidRPr="00916619" w:rsidTr="00916619">
        <w:tc>
          <w:tcPr>
            <w:tcW w:w="9429" w:type="dxa"/>
          </w:tcPr>
          <w:p w:rsidR="00E81B3D" w:rsidRPr="00916619" w:rsidRDefault="00E81B3D" w:rsidP="00916619">
            <w:pPr>
              <w:numPr>
                <w:ilvl w:val="0"/>
                <w:numId w:val="12"/>
              </w:numPr>
              <w:spacing w:before="120" w:after="120"/>
              <w:ind w:left="850" w:hanging="283"/>
              <w:rPr>
                <w:rFonts w:cs="Arial"/>
                <w:sz w:val="18"/>
                <w:szCs w:val="18"/>
              </w:rPr>
            </w:pPr>
            <w:r w:rsidRPr="00916619">
              <w:rPr>
                <w:rFonts w:cs="Arial"/>
                <w:sz w:val="18"/>
                <w:szCs w:val="18"/>
              </w:rPr>
              <w:t>Hiperuricemia asintomática</w:t>
            </w:r>
          </w:p>
          <w:p w:rsidR="00E81B3D" w:rsidRPr="00916619" w:rsidRDefault="00E81B3D" w:rsidP="00916619">
            <w:pPr>
              <w:numPr>
                <w:ilvl w:val="0"/>
                <w:numId w:val="12"/>
              </w:numPr>
              <w:spacing w:before="120" w:after="120"/>
              <w:ind w:left="850" w:hanging="283"/>
              <w:rPr>
                <w:rFonts w:cs="Arial"/>
                <w:sz w:val="18"/>
                <w:szCs w:val="18"/>
              </w:rPr>
            </w:pPr>
            <w:r w:rsidRPr="00916619">
              <w:rPr>
                <w:rFonts w:cs="Arial"/>
                <w:sz w:val="18"/>
                <w:szCs w:val="18"/>
              </w:rPr>
              <w:t>Artritis gotosa aguda</w:t>
            </w:r>
          </w:p>
          <w:p w:rsidR="00E81B3D" w:rsidRPr="00916619" w:rsidRDefault="00E81B3D" w:rsidP="00916619">
            <w:pPr>
              <w:numPr>
                <w:ilvl w:val="0"/>
                <w:numId w:val="12"/>
              </w:numPr>
              <w:spacing w:before="120" w:after="120"/>
              <w:ind w:left="850" w:hanging="283"/>
              <w:rPr>
                <w:rFonts w:cs="Arial"/>
                <w:sz w:val="18"/>
                <w:szCs w:val="18"/>
              </w:rPr>
            </w:pPr>
            <w:r w:rsidRPr="00916619">
              <w:rPr>
                <w:rFonts w:cs="Arial"/>
                <w:sz w:val="18"/>
                <w:szCs w:val="18"/>
              </w:rPr>
              <w:t>Gota tofácea</w:t>
            </w:r>
          </w:p>
          <w:p w:rsidR="00E81B3D" w:rsidRPr="00916619" w:rsidRDefault="00E81B3D" w:rsidP="00916619">
            <w:pPr>
              <w:numPr>
                <w:ilvl w:val="0"/>
                <w:numId w:val="12"/>
              </w:numPr>
              <w:spacing w:before="120" w:after="120"/>
              <w:ind w:left="850" w:hanging="283"/>
              <w:rPr>
                <w:rFonts w:cs="Arial"/>
                <w:b/>
                <w:sz w:val="18"/>
                <w:szCs w:val="18"/>
              </w:rPr>
            </w:pPr>
            <w:r w:rsidRPr="00916619">
              <w:rPr>
                <w:rFonts w:cs="Arial"/>
                <w:sz w:val="18"/>
                <w:szCs w:val="18"/>
              </w:rPr>
              <w:t>Nefropatía por ácido úrico</w:t>
            </w:r>
          </w:p>
          <w:p w:rsidR="00E81B3D" w:rsidRPr="00916619" w:rsidRDefault="00E81B3D" w:rsidP="00916619">
            <w:pPr>
              <w:numPr>
                <w:ilvl w:val="0"/>
                <w:numId w:val="12"/>
              </w:numPr>
              <w:spacing w:before="120" w:after="120"/>
              <w:ind w:left="850" w:hanging="283"/>
              <w:rPr>
                <w:rFonts w:cs="Arial"/>
                <w:b/>
                <w:sz w:val="18"/>
                <w:szCs w:val="18"/>
              </w:rPr>
            </w:pPr>
            <w:r w:rsidRPr="00916619">
              <w:rPr>
                <w:rFonts w:cs="Arial"/>
                <w:sz w:val="18"/>
                <w:szCs w:val="18"/>
              </w:rPr>
              <w:t>Nefrolitiasis úrica</w:t>
            </w:r>
          </w:p>
        </w:tc>
      </w:tr>
    </w:tbl>
    <w:p w:rsidR="00E81B3D" w:rsidRPr="00E1385B" w:rsidRDefault="00E81B3D" w:rsidP="00DF3A25">
      <w:pPr>
        <w:spacing w:before="120" w:after="120"/>
        <w:ind w:left="993"/>
        <w:rPr>
          <w:rFonts w:cs="Arial"/>
          <w:b/>
          <w:sz w:val="18"/>
          <w:szCs w:val="18"/>
        </w:rPr>
      </w:pPr>
    </w:p>
    <w:p w:rsidR="00E81B3D" w:rsidRPr="007908A6" w:rsidRDefault="00E81B3D" w:rsidP="007908A6">
      <w:pPr>
        <w:spacing w:before="120" w:after="120"/>
        <w:ind w:left="993"/>
        <w:rPr>
          <w:rFonts w:cs="Arial"/>
          <w:sz w:val="20"/>
          <w:szCs w:val="20"/>
        </w:rPr>
      </w:pPr>
      <w:r w:rsidRPr="00E1385B">
        <w:rPr>
          <w:rFonts w:cs="Arial"/>
          <w:sz w:val="20"/>
          <w:szCs w:val="20"/>
        </w:rPr>
        <w:t xml:space="preserve">El ácido úrico es uno de los productos metabólicos resultantes de la degradación de las bases purínicas (adenina y guanina). Sus valores pueden elevarse por aumento de la degradación de purinas (endógenas o provenientes de la dieta) o por disminución de su eliminación. Las situaciones que producen hiperuricemia están reflejadas en la </w:t>
      </w:r>
      <w:r w:rsidRPr="00E1385B">
        <w:rPr>
          <w:rFonts w:cs="Arial"/>
          <w:b/>
          <w:sz w:val="20"/>
          <w:szCs w:val="20"/>
        </w:rPr>
        <w:t xml:space="preserve">tabla </w:t>
      </w:r>
      <w:r>
        <w:rPr>
          <w:rFonts w:cs="Arial"/>
          <w:b/>
          <w:sz w:val="20"/>
          <w:szCs w:val="20"/>
        </w:rPr>
        <w:t>13</w:t>
      </w:r>
      <w:r>
        <w:rPr>
          <w:rFonts w:cs="Arial"/>
          <w:sz w:val="20"/>
          <w:szCs w:val="20"/>
        </w:rPr>
        <w:t>.</w:t>
      </w:r>
    </w:p>
    <w:p w:rsidR="00E81B3D" w:rsidRDefault="00E81B3D" w:rsidP="00DF3A25">
      <w:pPr>
        <w:spacing w:before="120" w:after="120"/>
        <w:ind w:left="284" w:firstLine="709"/>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651852" w:rsidRDefault="00651852" w:rsidP="00904912">
      <w:pPr>
        <w:spacing w:before="120" w:after="120"/>
        <w:ind w:left="284" w:firstLine="709"/>
        <w:jc w:val="left"/>
        <w:rPr>
          <w:rFonts w:cs="Arial"/>
          <w:b/>
          <w:sz w:val="18"/>
          <w:szCs w:val="18"/>
        </w:rPr>
      </w:pPr>
    </w:p>
    <w:p w:rsidR="00E81B3D" w:rsidRDefault="00E81B3D" w:rsidP="00904912">
      <w:pPr>
        <w:spacing w:before="120" w:after="120"/>
        <w:ind w:left="284" w:firstLine="709"/>
        <w:jc w:val="left"/>
        <w:rPr>
          <w:rFonts w:cs="Arial"/>
          <w:b/>
          <w:sz w:val="18"/>
          <w:szCs w:val="18"/>
        </w:rPr>
      </w:pPr>
      <w:r w:rsidRPr="00E1385B">
        <w:rPr>
          <w:rFonts w:cs="Arial"/>
          <w:b/>
          <w:sz w:val="18"/>
          <w:szCs w:val="18"/>
        </w:rPr>
        <w:lastRenderedPageBreak/>
        <w:t>Tabla</w:t>
      </w:r>
      <w:r>
        <w:rPr>
          <w:rFonts w:cs="Arial"/>
          <w:b/>
          <w:sz w:val="18"/>
          <w:szCs w:val="18"/>
        </w:rPr>
        <w:t xml:space="preserve"> 13.</w:t>
      </w:r>
      <w:r w:rsidRPr="00E1385B">
        <w:rPr>
          <w:rFonts w:cs="Arial"/>
          <w:b/>
          <w:sz w:val="18"/>
          <w:szCs w:val="18"/>
        </w:rPr>
        <w:t xml:space="preserve"> ETIOPATOGENIA DE LA HIPERURICEMIA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E81B3D" w:rsidRPr="00916619" w:rsidTr="00916619">
        <w:tc>
          <w:tcPr>
            <w:tcW w:w="9463" w:type="dxa"/>
          </w:tcPr>
          <w:p w:rsidR="00E81B3D" w:rsidRPr="00916619" w:rsidRDefault="00E81B3D" w:rsidP="00916619">
            <w:pPr>
              <w:numPr>
                <w:ilvl w:val="0"/>
                <w:numId w:val="13"/>
              </w:numPr>
              <w:spacing w:before="120" w:after="120"/>
              <w:ind w:left="850"/>
              <w:rPr>
                <w:rFonts w:cs="Arial"/>
                <w:b/>
                <w:sz w:val="18"/>
                <w:szCs w:val="18"/>
              </w:rPr>
            </w:pPr>
            <w:r w:rsidRPr="00916619">
              <w:rPr>
                <w:rFonts w:cs="Arial"/>
                <w:b/>
                <w:sz w:val="18"/>
                <w:szCs w:val="18"/>
              </w:rPr>
              <w:t>Primaria</w:t>
            </w:r>
          </w:p>
          <w:p w:rsidR="00E81B3D" w:rsidRPr="00916619" w:rsidRDefault="00E81B3D" w:rsidP="00916619">
            <w:pPr>
              <w:numPr>
                <w:ilvl w:val="1"/>
                <w:numId w:val="13"/>
              </w:numPr>
              <w:spacing w:before="120" w:after="120"/>
              <w:ind w:left="1264" w:hanging="284"/>
              <w:rPr>
                <w:rFonts w:cs="Arial"/>
                <w:b/>
                <w:sz w:val="18"/>
                <w:szCs w:val="18"/>
              </w:rPr>
            </w:pPr>
            <w:r w:rsidRPr="00916619">
              <w:rPr>
                <w:rFonts w:cs="Arial"/>
                <w:b/>
                <w:sz w:val="18"/>
                <w:szCs w:val="18"/>
              </w:rPr>
              <w:t>Por aumento en la producción de ácido úrico</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Idiopática</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Glucogenosis ( I,III,V y VII)</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Déficit parcial de la hipoxantina-guanina-fosforribosiltranferasa (síndrome de Seegmiller-Kelley) o total (síndrome de Lesch-Nyham)</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Déficit de fosfofructoaldolasa</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Hiperactividad de la fosforribosil-pirofosfato sintetasa</w:t>
            </w:r>
          </w:p>
          <w:p w:rsidR="00E81B3D" w:rsidRPr="00916619" w:rsidRDefault="00E81B3D" w:rsidP="00916619">
            <w:pPr>
              <w:numPr>
                <w:ilvl w:val="1"/>
                <w:numId w:val="13"/>
              </w:numPr>
              <w:spacing w:before="120" w:after="120"/>
              <w:ind w:left="1264" w:hanging="284"/>
              <w:rPr>
                <w:rFonts w:cs="Arial"/>
                <w:b/>
                <w:sz w:val="18"/>
                <w:szCs w:val="18"/>
              </w:rPr>
            </w:pPr>
            <w:r w:rsidRPr="00916619">
              <w:rPr>
                <w:rFonts w:cs="Arial"/>
                <w:b/>
                <w:sz w:val="18"/>
                <w:szCs w:val="18"/>
              </w:rPr>
              <w:t>Por disminución de la excreción renal</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Idiopática (defecto selectivo de secreción tubular de ácido úrico)</w:t>
            </w:r>
          </w:p>
          <w:p w:rsidR="00E81B3D" w:rsidRPr="00916619" w:rsidRDefault="00E81B3D" w:rsidP="00916619">
            <w:pPr>
              <w:spacing w:before="120" w:after="120"/>
              <w:ind w:left="850"/>
              <w:rPr>
                <w:rFonts w:cs="Arial"/>
                <w:b/>
                <w:sz w:val="18"/>
                <w:szCs w:val="18"/>
              </w:rPr>
            </w:pPr>
          </w:p>
          <w:p w:rsidR="00E81B3D" w:rsidRPr="00916619" w:rsidRDefault="00E81B3D" w:rsidP="00916619">
            <w:pPr>
              <w:numPr>
                <w:ilvl w:val="0"/>
                <w:numId w:val="13"/>
              </w:numPr>
              <w:spacing w:before="120" w:after="120"/>
              <w:ind w:left="850"/>
              <w:rPr>
                <w:rFonts w:cs="Arial"/>
                <w:b/>
                <w:sz w:val="18"/>
                <w:szCs w:val="18"/>
              </w:rPr>
            </w:pPr>
            <w:r w:rsidRPr="00916619">
              <w:rPr>
                <w:rFonts w:cs="Arial"/>
                <w:b/>
                <w:sz w:val="18"/>
                <w:szCs w:val="18"/>
              </w:rPr>
              <w:t>Secundaria</w:t>
            </w:r>
          </w:p>
          <w:p w:rsidR="00E81B3D" w:rsidRPr="00916619" w:rsidRDefault="00E81B3D" w:rsidP="00916619">
            <w:pPr>
              <w:numPr>
                <w:ilvl w:val="1"/>
                <w:numId w:val="13"/>
              </w:numPr>
              <w:spacing w:before="120" w:after="120"/>
              <w:ind w:left="1264" w:hanging="284"/>
              <w:rPr>
                <w:rFonts w:cs="Arial"/>
                <w:b/>
                <w:sz w:val="18"/>
                <w:szCs w:val="18"/>
              </w:rPr>
            </w:pPr>
            <w:r w:rsidRPr="00916619">
              <w:rPr>
                <w:rFonts w:cs="Arial"/>
                <w:b/>
                <w:sz w:val="18"/>
                <w:szCs w:val="18"/>
              </w:rPr>
              <w:t>Incremento de la producción</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Sobreingestión calórica, de purinas, fructosa o etanol</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Aumento del catabolismo: (ejercicio físico intenso o convulsiones)</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Enfermedades con aumento de recambio celular: psoriasis, neoplasias, enfermedades linfo-mieloproliferativas crónicas</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Mononucleosis infecciosa, anemias hemolíticas crónicas</w:t>
            </w:r>
          </w:p>
          <w:p w:rsidR="00E81B3D" w:rsidRPr="00916619" w:rsidRDefault="00E81B3D" w:rsidP="00916619">
            <w:pPr>
              <w:numPr>
                <w:ilvl w:val="1"/>
                <w:numId w:val="13"/>
              </w:numPr>
              <w:spacing w:before="120" w:after="120"/>
              <w:ind w:left="1264" w:hanging="284"/>
              <w:rPr>
                <w:rFonts w:cs="Arial"/>
                <w:b/>
                <w:sz w:val="18"/>
                <w:szCs w:val="18"/>
              </w:rPr>
            </w:pPr>
            <w:r w:rsidRPr="00916619">
              <w:rPr>
                <w:rFonts w:cs="Arial"/>
                <w:b/>
                <w:sz w:val="18"/>
                <w:szCs w:val="18"/>
              </w:rPr>
              <w:t>Disminución de la excreción renal.</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Patología renal: insuficiencia renal aguda/crónica, HTA, nefropatía uricémica familiar juvenil</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Intoxicación crónica por plomo</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Acidosis metabólica/respiratoria</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Hipertiroidismo/ hiperparatiroidismo</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Gestosis, cetosis</w:t>
            </w:r>
          </w:p>
          <w:p w:rsidR="00E81B3D" w:rsidRPr="00916619" w:rsidRDefault="00E81B3D" w:rsidP="00916619">
            <w:pPr>
              <w:numPr>
                <w:ilvl w:val="2"/>
                <w:numId w:val="14"/>
              </w:numPr>
              <w:spacing w:before="120" w:after="120"/>
              <w:ind w:left="1689" w:hanging="284"/>
              <w:rPr>
                <w:rFonts w:cs="Arial"/>
                <w:sz w:val="18"/>
                <w:szCs w:val="18"/>
              </w:rPr>
            </w:pPr>
            <w:r w:rsidRPr="00916619">
              <w:rPr>
                <w:rFonts w:cs="Arial"/>
                <w:sz w:val="18"/>
                <w:szCs w:val="18"/>
              </w:rPr>
              <w:t>Fármacos: diuréticos (tiazidas, furosemida, etacrínico), salicilatos o fenilbutazona en dosis bajas, levodopa, eufilina, ácido nicotínico, laxantes de contacto, tuberculostáticos (etambutol, pirazinamida), citostáticos (ciclosporina A), vitamina B12, antirretrovirales (ritonavir, didanosina).</w:t>
            </w:r>
          </w:p>
          <w:p w:rsidR="00E81B3D" w:rsidRPr="00916619" w:rsidRDefault="00E81B3D" w:rsidP="00916619">
            <w:pPr>
              <w:spacing w:before="120" w:after="120"/>
              <w:rPr>
                <w:rFonts w:cs="Arial"/>
                <w:b/>
                <w:sz w:val="18"/>
                <w:szCs w:val="18"/>
              </w:rPr>
            </w:pPr>
          </w:p>
        </w:tc>
      </w:tr>
    </w:tbl>
    <w:p w:rsidR="00E81B3D" w:rsidRPr="00E1385B" w:rsidRDefault="00E81B3D" w:rsidP="00DF3A25">
      <w:pPr>
        <w:spacing w:before="120" w:after="120"/>
        <w:ind w:left="284" w:firstLine="709"/>
        <w:rPr>
          <w:rFonts w:cs="Arial"/>
          <w:b/>
          <w:sz w:val="18"/>
          <w:szCs w:val="18"/>
        </w:rPr>
      </w:pPr>
    </w:p>
    <w:p w:rsidR="00E81B3D" w:rsidRPr="00C352B1" w:rsidRDefault="00E81B3D" w:rsidP="00DF3A25">
      <w:pPr>
        <w:spacing w:before="120" w:after="120"/>
        <w:ind w:left="993"/>
        <w:rPr>
          <w:rFonts w:cs="Arial"/>
          <w:sz w:val="20"/>
          <w:szCs w:val="20"/>
        </w:rPr>
      </w:pPr>
      <w:r w:rsidRPr="00C352B1">
        <w:rPr>
          <w:rFonts w:cs="Arial"/>
          <w:sz w:val="20"/>
          <w:szCs w:val="20"/>
        </w:rPr>
        <w:t>De todas ellas, la más frecuente es la disminución del aclaramiento renal de ácido úrico, que supone el 90% de los casos (apartado II.B en la tabla 13). En los pacientes con disminución de la excreción renal la hiperuricemia coexiste con diversos grados de HTA, DM y ERC. Para muchos autores la hiperuricemia es causa de la enfermedad renal, de modo que precede a la aparición de HTA, obesidad, nefropatía y DM</w:t>
      </w:r>
      <w:r w:rsidRPr="00C352B1">
        <w:rPr>
          <w:rStyle w:val="Refdenotaalfinal"/>
          <w:rFonts w:cs="Arial"/>
          <w:sz w:val="20"/>
          <w:szCs w:val="20"/>
        </w:rPr>
        <w:endnoteReference w:id="142"/>
      </w:r>
      <w:r w:rsidRPr="00C352B1">
        <w:rPr>
          <w:rFonts w:cs="Arial"/>
          <w:sz w:val="20"/>
          <w:szCs w:val="20"/>
        </w:rPr>
        <w:t xml:space="preserve"> </w:t>
      </w:r>
      <w:r w:rsidRPr="00C352B1">
        <w:rPr>
          <w:rStyle w:val="Refdenotaalfinal"/>
          <w:rFonts w:cs="Arial"/>
          <w:sz w:val="20"/>
          <w:szCs w:val="20"/>
        </w:rPr>
        <w:endnoteReference w:id="143"/>
      </w:r>
      <w:r w:rsidRPr="00C352B1">
        <w:rPr>
          <w:rFonts w:cs="Arial"/>
          <w:sz w:val="20"/>
          <w:szCs w:val="20"/>
        </w:rPr>
        <w:t xml:space="preserve">. Para </w:t>
      </w:r>
      <w:r>
        <w:rPr>
          <w:rFonts w:cs="Arial"/>
          <w:sz w:val="20"/>
          <w:szCs w:val="20"/>
        </w:rPr>
        <w:t xml:space="preserve"> el </w:t>
      </w:r>
      <w:r w:rsidRPr="00C352B1">
        <w:rPr>
          <w:rFonts w:cs="Arial"/>
          <w:sz w:val="20"/>
          <w:szCs w:val="20"/>
        </w:rPr>
        <w:t xml:space="preserve">Framingham Heart Study, el aumento del ácido úrico es sólo un marcador de riesgo que viene ligado a la HTA. </w:t>
      </w:r>
      <w:r>
        <w:rPr>
          <w:rFonts w:cs="Arial"/>
          <w:sz w:val="20"/>
          <w:szCs w:val="20"/>
        </w:rPr>
        <w:t>Un</w:t>
      </w:r>
      <w:r w:rsidRPr="00C352B1">
        <w:rPr>
          <w:rFonts w:cs="Arial"/>
          <w:sz w:val="20"/>
          <w:szCs w:val="20"/>
        </w:rPr>
        <w:t xml:space="preserve"> meta</w:t>
      </w:r>
      <w:r>
        <w:rPr>
          <w:rFonts w:cs="Arial"/>
          <w:sz w:val="20"/>
          <w:szCs w:val="20"/>
        </w:rPr>
        <w:t xml:space="preserve"> a</w:t>
      </w:r>
      <w:r w:rsidRPr="00C352B1">
        <w:rPr>
          <w:rFonts w:cs="Arial"/>
          <w:sz w:val="20"/>
          <w:szCs w:val="20"/>
        </w:rPr>
        <w:t>nálisis reciente</w:t>
      </w:r>
      <w:r w:rsidRPr="00C352B1">
        <w:rPr>
          <w:rStyle w:val="Refdenotaalfinal"/>
          <w:rFonts w:cs="Arial"/>
          <w:sz w:val="20"/>
          <w:szCs w:val="20"/>
        </w:rPr>
        <w:endnoteReference w:id="144"/>
      </w:r>
      <w:r w:rsidRPr="00C352B1">
        <w:rPr>
          <w:rFonts w:cs="Arial"/>
          <w:sz w:val="20"/>
          <w:szCs w:val="20"/>
        </w:rPr>
        <w:t xml:space="preserve"> que incluye 26 estudios y casi 403.000 adultos, aprecia un incremento de riesgo cardiovascular marginal para el grupo global, y sólo significativo para mujeres cuando se analizaba por sexos.</w:t>
      </w:r>
    </w:p>
    <w:p w:rsidR="00E81B3D" w:rsidRPr="007908A6" w:rsidRDefault="00E81B3D" w:rsidP="007908A6">
      <w:pPr>
        <w:spacing w:before="120" w:after="120"/>
        <w:ind w:left="993"/>
        <w:rPr>
          <w:rFonts w:cs="Arial"/>
          <w:sz w:val="20"/>
          <w:szCs w:val="20"/>
        </w:rPr>
      </w:pPr>
      <w:r>
        <w:rPr>
          <w:rFonts w:cs="Arial"/>
          <w:sz w:val="20"/>
          <w:szCs w:val="20"/>
        </w:rPr>
        <w:t xml:space="preserve">Las </w:t>
      </w:r>
      <w:r w:rsidRPr="001D2E53">
        <w:rPr>
          <w:rFonts w:cs="Arial"/>
          <w:sz w:val="20"/>
          <w:szCs w:val="20"/>
        </w:rPr>
        <w:t xml:space="preserve">afecciones cardiovasculares y factores de riesgo asociados con hiperuricemia quedan reflejados en la </w:t>
      </w:r>
      <w:r w:rsidRPr="001D2E53">
        <w:rPr>
          <w:rFonts w:cs="Arial"/>
          <w:b/>
          <w:sz w:val="20"/>
          <w:szCs w:val="20"/>
        </w:rPr>
        <w:t xml:space="preserve">tabla </w:t>
      </w:r>
      <w:r>
        <w:rPr>
          <w:rFonts w:cs="Arial"/>
          <w:b/>
          <w:sz w:val="20"/>
          <w:szCs w:val="20"/>
        </w:rPr>
        <w:t>14</w:t>
      </w:r>
      <w:r w:rsidRPr="001D2E53">
        <w:rPr>
          <w:rFonts w:cs="Arial"/>
          <w:sz w:val="20"/>
          <w:szCs w:val="20"/>
        </w:rPr>
        <w:t>.</w:t>
      </w:r>
    </w:p>
    <w:p w:rsidR="00E81B3D" w:rsidRDefault="00E81B3D" w:rsidP="00DF3A25">
      <w:pPr>
        <w:spacing w:before="120" w:after="120"/>
        <w:ind w:left="993"/>
        <w:rPr>
          <w:rFonts w:cs="Arial"/>
          <w:b/>
          <w:sz w:val="18"/>
          <w:szCs w:val="18"/>
        </w:rPr>
      </w:pPr>
    </w:p>
    <w:p w:rsidR="00651852" w:rsidRDefault="00651852" w:rsidP="00DF3A25">
      <w:pPr>
        <w:spacing w:before="120" w:after="120"/>
        <w:ind w:left="993"/>
        <w:rPr>
          <w:rFonts w:cs="Arial"/>
          <w:b/>
          <w:sz w:val="18"/>
          <w:szCs w:val="18"/>
        </w:rPr>
      </w:pPr>
    </w:p>
    <w:p w:rsidR="00651852" w:rsidRDefault="00651852" w:rsidP="00DF3A25">
      <w:pPr>
        <w:spacing w:before="120" w:after="120"/>
        <w:ind w:left="993"/>
        <w:rPr>
          <w:rFonts w:cs="Arial"/>
          <w:b/>
          <w:sz w:val="18"/>
          <w:szCs w:val="18"/>
        </w:rPr>
      </w:pPr>
    </w:p>
    <w:p w:rsidR="00651852" w:rsidRDefault="00651852" w:rsidP="00DF3A25">
      <w:pPr>
        <w:spacing w:before="120" w:after="120"/>
        <w:ind w:left="993"/>
        <w:rPr>
          <w:rFonts w:cs="Arial"/>
          <w:b/>
          <w:sz w:val="18"/>
          <w:szCs w:val="18"/>
        </w:rPr>
      </w:pPr>
    </w:p>
    <w:p w:rsidR="00E81B3D" w:rsidRDefault="00E81B3D" w:rsidP="00904912">
      <w:pPr>
        <w:spacing w:before="120" w:after="120"/>
        <w:ind w:left="993"/>
        <w:jc w:val="left"/>
        <w:rPr>
          <w:rFonts w:cs="Arial"/>
          <w:b/>
          <w:sz w:val="18"/>
          <w:szCs w:val="18"/>
        </w:rPr>
      </w:pPr>
      <w:r w:rsidRPr="00E1385B">
        <w:rPr>
          <w:rFonts w:cs="Arial"/>
          <w:b/>
          <w:sz w:val="18"/>
          <w:szCs w:val="18"/>
        </w:rPr>
        <w:lastRenderedPageBreak/>
        <w:t>Tabla</w:t>
      </w:r>
      <w:r>
        <w:rPr>
          <w:rFonts w:cs="Arial"/>
          <w:b/>
          <w:sz w:val="18"/>
          <w:szCs w:val="18"/>
        </w:rPr>
        <w:t xml:space="preserve"> 14.</w:t>
      </w:r>
      <w:r w:rsidRPr="00E1385B">
        <w:rPr>
          <w:rFonts w:cs="Arial"/>
          <w:b/>
          <w:sz w:val="18"/>
          <w:szCs w:val="18"/>
        </w:rPr>
        <w:t xml:space="preserve"> </w:t>
      </w:r>
      <w:r w:rsidRPr="001D2E53">
        <w:rPr>
          <w:rFonts w:cs="Arial"/>
          <w:b/>
          <w:sz w:val="18"/>
          <w:szCs w:val="18"/>
        </w:rPr>
        <w:t>AFECCIONES CARDIOVASCULARES Y FACTORES DE RIESGO ASOCIADOS CON HIPERURICEMIA</w:t>
      </w:r>
    </w:p>
    <w:p w:rsidR="00E81B3D" w:rsidRDefault="00E81B3D" w:rsidP="00DF3A25">
      <w:pPr>
        <w:spacing w:before="120" w:after="120"/>
        <w:ind w:left="993"/>
        <w:rPr>
          <w:rFonts w:cs="Arial"/>
          <w:sz w:val="16"/>
          <w:szCs w:val="16"/>
        </w:rPr>
      </w:pPr>
      <w:r w:rsidRPr="001D2E53">
        <w:rPr>
          <w:rFonts w:cs="Arial"/>
          <w:sz w:val="16"/>
          <w:szCs w:val="16"/>
        </w:rPr>
        <w:t xml:space="preserve">Modificado de Feig DI, Kang DH, Johnson RJ. </w:t>
      </w:r>
      <w:r w:rsidRPr="00244544">
        <w:rPr>
          <w:rFonts w:cs="Arial"/>
          <w:sz w:val="16"/>
          <w:szCs w:val="16"/>
          <w:lang w:val="en-US"/>
        </w:rPr>
        <w:t xml:space="preserve">Uric acid and cardiovascular risk. </w:t>
      </w:r>
      <w:r w:rsidRPr="001D2E53">
        <w:rPr>
          <w:rFonts w:cs="Arial"/>
          <w:sz w:val="16"/>
          <w:szCs w:val="16"/>
        </w:rPr>
        <w:t>N Engl J Med 2008;359(17):1811-21</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9"/>
      </w:tblGrid>
      <w:tr w:rsidR="00E81B3D" w:rsidRPr="000B63EB" w:rsidTr="000B63EB">
        <w:tc>
          <w:tcPr>
            <w:tcW w:w="10346" w:type="dxa"/>
          </w:tcPr>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Hipertensión y prehipertensión</w:t>
            </w:r>
          </w:p>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Enfermedad renal (incluyendo la disminución del filtrado glomerular y la albuminuria)</w:t>
            </w:r>
          </w:p>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 xml:space="preserve">Síndrome metabólico </w:t>
            </w:r>
          </w:p>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Apnea obstructiva del sueño</w:t>
            </w:r>
          </w:p>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Enfermedad vascular (carótida, vasos periféricos, coronarias)</w:t>
            </w:r>
          </w:p>
          <w:p w:rsidR="00E81B3D" w:rsidRPr="00C352B1" w:rsidRDefault="00E81B3D" w:rsidP="000B63EB">
            <w:pPr>
              <w:numPr>
                <w:ilvl w:val="0"/>
                <w:numId w:val="12"/>
              </w:numPr>
              <w:spacing w:before="120" w:after="120"/>
              <w:ind w:left="850" w:hanging="425"/>
              <w:rPr>
                <w:rFonts w:cs="Arial"/>
                <w:sz w:val="18"/>
                <w:szCs w:val="18"/>
              </w:rPr>
            </w:pPr>
            <w:r w:rsidRPr="000B63EB">
              <w:rPr>
                <w:rFonts w:cs="Arial"/>
                <w:sz w:val="18"/>
                <w:szCs w:val="18"/>
              </w:rPr>
              <w:t xml:space="preserve">Accidente </w:t>
            </w:r>
            <w:r w:rsidRPr="00C352B1">
              <w:rPr>
                <w:rFonts w:cs="Arial"/>
                <w:sz w:val="18"/>
                <w:szCs w:val="18"/>
              </w:rPr>
              <w:t>cerebrovascular y demencia vascular</w:t>
            </w:r>
          </w:p>
          <w:p w:rsidR="00E81B3D" w:rsidRPr="00C352B1" w:rsidRDefault="00E81B3D" w:rsidP="000B63EB">
            <w:pPr>
              <w:numPr>
                <w:ilvl w:val="0"/>
                <w:numId w:val="12"/>
              </w:numPr>
              <w:spacing w:before="120" w:after="120"/>
              <w:ind w:left="850" w:hanging="425"/>
              <w:rPr>
                <w:rFonts w:cs="Arial"/>
                <w:sz w:val="18"/>
                <w:szCs w:val="18"/>
              </w:rPr>
            </w:pPr>
            <w:r w:rsidRPr="00C352B1">
              <w:rPr>
                <w:rFonts w:cs="Arial"/>
                <w:sz w:val="18"/>
                <w:szCs w:val="18"/>
              </w:rPr>
              <w:t>Preeclampsia</w:t>
            </w:r>
          </w:p>
          <w:p w:rsidR="00E81B3D" w:rsidRPr="00C352B1" w:rsidRDefault="00E81B3D" w:rsidP="000B63EB">
            <w:pPr>
              <w:numPr>
                <w:ilvl w:val="0"/>
                <w:numId w:val="12"/>
              </w:numPr>
              <w:spacing w:before="120" w:after="120"/>
              <w:ind w:left="850" w:hanging="425"/>
              <w:rPr>
                <w:rFonts w:cs="Arial"/>
                <w:sz w:val="18"/>
                <w:szCs w:val="18"/>
              </w:rPr>
            </w:pPr>
            <w:r w:rsidRPr="00C352B1">
              <w:rPr>
                <w:rFonts w:cs="Arial"/>
                <w:sz w:val="18"/>
                <w:szCs w:val="18"/>
              </w:rPr>
              <w:t>Marcadores de inflamación como la (proteína C reactiva)</w:t>
            </w:r>
          </w:p>
          <w:p w:rsidR="00E81B3D" w:rsidRPr="00C352B1" w:rsidRDefault="00E81B3D" w:rsidP="000B63EB">
            <w:pPr>
              <w:numPr>
                <w:ilvl w:val="0"/>
                <w:numId w:val="12"/>
              </w:numPr>
              <w:spacing w:before="120" w:after="120"/>
              <w:ind w:left="850" w:hanging="425"/>
              <w:rPr>
                <w:rFonts w:cs="Arial"/>
                <w:sz w:val="18"/>
                <w:szCs w:val="18"/>
              </w:rPr>
            </w:pPr>
            <w:r w:rsidRPr="00C352B1">
              <w:rPr>
                <w:rFonts w:cs="Arial"/>
                <w:sz w:val="18"/>
                <w:szCs w:val="18"/>
              </w:rPr>
              <w:t>Disfunción endotelial</w:t>
            </w:r>
          </w:p>
          <w:p w:rsidR="00E81B3D" w:rsidRPr="00C352B1" w:rsidRDefault="00E81B3D" w:rsidP="000B63EB">
            <w:pPr>
              <w:numPr>
                <w:ilvl w:val="0"/>
                <w:numId w:val="12"/>
              </w:numPr>
              <w:spacing w:before="120" w:after="120"/>
              <w:ind w:left="850" w:hanging="425"/>
              <w:rPr>
                <w:rFonts w:cs="Arial"/>
                <w:sz w:val="18"/>
                <w:szCs w:val="18"/>
              </w:rPr>
            </w:pPr>
            <w:r w:rsidRPr="00C352B1">
              <w:rPr>
                <w:rFonts w:cs="Arial"/>
                <w:sz w:val="18"/>
                <w:szCs w:val="18"/>
              </w:rPr>
              <w:t>Estrés oxidativo</w:t>
            </w:r>
          </w:p>
          <w:p w:rsidR="00E81B3D" w:rsidRPr="000B63EB" w:rsidRDefault="00E81B3D" w:rsidP="000B63EB">
            <w:pPr>
              <w:numPr>
                <w:ilvl w:val="0"/>
                <w:numId w:val="12"/>
              </w:numPr>
              <w:spacing w:before="120" w:after="120"/>
              <w:ind w:left="850" w:hanging="425"/>
              <w:rPr>
                <w:rFonts w:cs="Arial"/>
                <w:sz w:val="18"/>
                <w:szCs w:val="18"/>
              </w:rPr>
            </w:pPr>
            <w:r w:rsidRPr="000B63EB">
              <w:rPr>
                <w:rFonts w:cs="Arial"/>
                <w:sz w:val="18"/>
                <w:szCs w:val="18"/>
              </w:rPr>
              <w:t>Sexo y raza (mujeres posmenopáusicas, raza negra)</w:t>
            </w:r>
          </w:p>
          <w:p w:rsidR="00E81B3D" w:rsidRPr="000B63EB" w:rsidRDefault="00E81B3D" w:rsidP="00C352B1">
            <w:pPr>
              <w:numPr>
                <w:ilvl w:val="0"/>
                <w:numId w:val="12"/>
              </w:numPr>
              <w:spacing w:before="120" w:after="120"/>
              <w:ind w:left="850" w:hanging="425"/>
              <w:rPr>
                <w:rFonts w:cs="Arial"/>
                <w:sz w:val="16"/>
                <w:szCs w:val="16"/>
              </w:rPr>
            </w:pPr>
            <w:r w:rsidRPr="000B63EB">
              <w:rPr>
                <w:rFonts w:cs="Arial"/>
                <w:sz w:val="18"/>
                <w:szCs w:val="18"/>
              </w:rPr>
              <w:t>Demográficos (migraciones desde zonas rurales a comunidades urbanas, occidentalización, inmigración a culturas occidentales</w:t>
            </w:r>
          </w:p>
        </w:tc>
      </w:tr>
    </w:tbl>
    <w:p w:rsidR="00E81B3D" w:rsidRPr="001D2E53" w:rsidRDefault="00E81B3D" w:rsidP="00DF3A25">
      <w:pPr>
        <w:spacing w:before="120" w:after="120"/>
        <w:ind w:left="993"/>
        <w:rPr>
          <w:rFonts w:cs="Arial"/>
          <w:sz w:val="16"/>
          <w:szCs w:val="16"/>
        </w:rPr>
      </w:pPr>
    </w:p>
    <w:p w:rsidR="00E81B3D" w:rsidRPr="001D2E53" w:rsidRDefault="00E81B3D" w:rsidP="00DF3A25">
      <w:pPr>
        <w:spacing w:before="120" w:after="120"/>
        <w:ind w:left="993"/>
        <w:rPr>
          <w:rFonts w:cs="Arial"/>
          <w:sz w:val="20"/>
          <w:szCs w:val="20"/>
        </w:rPr>
      </w:pPr>
      <w:r w:rsidRPr="001D2E53">
        <w:rPr>
          <w:rFonts w:cs="Arial"/>
          <w:sz w:val="20"/>
          <w:szCs w:val="20"/>
        </w:rPr>
        <w:t>Las guías clínicas actuales no recomiendan el tratamiento puesto que sólo se apoyarían en dos ensayos clínicos aleatorizados.</w:t>
      </w:r>
      <w:r>
        <w:rPr>
          <w:rFonts w:cs="Arial"/>
          <w:sz w:val="20"/>
          <w:szCs w:val="20"/>
        </w:rPr>
        <w:t xml:space="preserve"> </w:t>
      </w:r>
      <w:r w:rsidRPr="001D2E53">
        <w:rPr>
          <w:rFonts w:cs="Arial"/>
          <w:sz w:val="20"/>
          <w:szCs w:val="20"/>
        </w:rPr>
        <w:t>Uno de ellos incluye a 30 adolescentes hipertensos e hiperuricémicos en los que el alopurinol redujo significativamente la presión arterial</w:t>
      </w:r>
      <w:r>
        <w:rPr>
          <w:rFonts w:cs="Arial"/>
          <w:sz w:val="20"/>
          <w:szCs w:val="20"/>
        </w:rPr>
        <w:t xml:space="preserve"> </w:t>
      </w:r>
      <w:r w:rsidRPr="001D2E53">
        <w:rPr>
          <w:rFonts w:cs="Arial"/>
          <w:sz w:val="20"/>
          <w:szCs w:val="20"/>
        </w:rPr>
        <w:t>en l</w:t>
      </w:r>
      <w:r>
        <w:rPr>
          <w:rFonts w:cs="Arial"/>
          <w:sz w:val="20"/>
          <w:szCs w:val="20"/>
        </w:rPr>
        <w:t>os casos con uricemia &gt; 5 mg/dl</w:t>
      </w:r>
      <w:r>
        <w:rPr>
          <w:rStyle w:val="Refdenotaalfinal"/>
          <w:rFonts w:cs="Arial"/>
          <w:sz w:val="20"/>
          <w:szCs w:val="20"/>
        </w:rPr>
        <w:endnoteReference w:id="145"/>
      </w:r>
      <w:r w:rsidRPr="001D2E53">
        <w:rPr>
          <w:rFonts w:cs="Arial"/>
          <w:sz w:val="20"/>
          <w:szCs w:val="20"/>
        </w:rPr>
        <w:t xml:space="preserve">. El otro analiza 113 pacientes </w:t>
      </w:r>
      <w:r w:rsidRPr="00C352B1">
        <w:rPr>
          <w:rFonts w:cs="Arial"/>
          <w:sz w:val="20"/>
          <w:szCs w:val="20"/>
        </w:rPr>
        <w:t>con ERC</w:t>
      </w:r>
      <w:r>
        <w:rPr>
          <w:rFonts w:cs="Arial"/>
          <w:sz w:val="20"/>
          <w:szCs w:val="20"/>
        </w:rPr>
        <w:t xml:space="preserve"> </w:t>
      </w:r>
      <w:r w:rsidRPr="001D2E53">
        <w:rPr>
          <w:rFonts w:cs="Arial"/>
          <w:sz w:val="20"/>
          <w:szCs w:val="20"/>
        </w:rPr>
        <w:t>y compara la administración de alopurinol 100 mg/día frente a la terapia estándar durante dos años. En este grupo los autores concluyen que el alopurinol enlentece la progresión de la enfermedad renal y disminuye el riesgo de event</w:t>
      </w:r>
      <w:r>
        <w:rPr>
          <w:rFonts w:cs="Arial"/>
          <w:sz w:val="20"/>
          <w:szCs w:val="20"/>
        </w:rPr>
        <w:t>os cardiovasculares en un 71%</w:t>
      </w:r>
      <w:r>
        <w:rPr>
          <w:rStyle w:val="Refdenotaalfinal"/>
          <w:rFonts w:cs="Arial"/>
          <w:sz w:val="20"/>
          <w:szCs w:val="20"/>
        </w:rPr>
        <w:endnoteReference w:id="146"/>
      </w:r>
      <w:r w:rsidRPr="001D2E53">
        <w:rPr>
          <w:rFonts w:cs="Arial"/>
          <w:sz w:val="20"/>
          <w:szCs w:val="20"/>
        </w:rPr>
        <w:t xml:space="preserve">. </w:t>
      </w:r>
    </w:p>
    <w:p w:rsidR="00E81B3D" w:rsidRPr="001D2E53" w:rsidRDefault="00E81B3D" w:rsidP="00DF3A25">
      <w:pPr>
        <w:spacing w:before="120" w:after="120"/>
        <w:ind w:left="993"/>
        <w:rPr>
          <w:rFonts w:cs="Arial"/>
          <w:sz w:val="20"/>
          <w:szCs w:val="20"/>
        </w:rPr>
      </w:pPr>
      <w:r w:rsidRPr="001D2E53">
        <w:rPr>
          <w:rFonts w:cs="Arial"/>
          <w:sz w:val="20"/>
          <w:szCs w:val="20"/>
        </w:rPr>
        <w:t>El alopurinol es un inhibidor competitivo de la xantinoxidasa,</w:t>
      </w:r>
      <w:r>
        <w:rPr>
          <w:rFonts w:cs="Arial"/>
          <w:sz w:val="20"/>
          <w:szCs w:val="20"/>
        </w:rPr>
        <w:t xml:space="preserve"> </w:t>
      </w:r>
      <w:r w:rsidRPr="001D2E53">
        <w:rPr>
          <w:rFonts w:cs="Arial"/>
          <w:sz w:val="20"/>
          <w:szCs w:val="20"/>
        </w:rPr>
        <w:t xml:space="preserve"> enzima responsable de la conversión de hipoxantina a xantina y de xantina a ácido úrico. Por ello disminuye la concentración plasmática y la excreción renal de ácido úrico. El tratamiento con alopurinol aumenta la concentración plasmática y la excreción renal de los precursores purínicos (más solubles), por lo que disminuye su depósito en los tejidos</w:t>
      </w:r>
      <w:r>
        <w:rPr>
          <w:rStyle w:val="Refdenotaalfinal"/>
          <w:rFonts w:cs="Arial"/>
          <w:sz w:val="20"/>
          <w:szCs w:val="20"/>
        </w:rPr>
        <w:endnoteReference w:id="147"/>
      </w:r>
      <w:r>
        <w:rPr>
          <w:rFonts w:cs="Arial"/>
          <w:sz w:val="20"/>
          <w:szCs w:val="20"/>
        </w:rPr>
        <w:t xml:space="preserve"> </w:t>
      </w:r>
      <w:r>
        <w:rPr>
          <w:rStyle w:val="Refdenotaalfinal"/>
          <w:rFonts w:cs="Arial"/>
          <w:sz w:val="20"/>
          <w:szCs w:val="20"/>
        </w:rPr>
        <w:endnoteReference w:id="148"/>
      </w:r>
      <w:r w:rsidRPr="001D2E53">
        <w:rPr>
          <w:rFonts w:cs="Arial"/>
          <w:sz w:val="20"/>
          <w:szCs w:val="20"/>
        </w:rPr>
        <w:t>.</w:t>
      </w:r>
      <w:r>
        <w:rPr>
          <w:rFonts w:cs="Arial"/>
          <w:sz w:val="20"/>
          <w:szCs w:val="20"/>
        </w:rPr>
        <w:t>Además p</w:t>
      </w:r>
      <w:r w:rsidRPr="001D2E53">
        <w:rPr>
          <w:rFonts w:cs="Arial"/>
          <w:sz w:val="20"/>
          <w:szCs w:val="20"/>
        </w:rPr>
        <w:t>or su efecto antioxidante mejoran la función endotelial de forma independiente de la reducción del ácido úrico</w:t>
      </w:r>
      <w:r>
        <w:rPr>
          <w:rStyle w:val="Refdenotaalfinal"/>
          <w:rFonts w:cs="Arial"/>
          <w:sz w:val="20"/>
          <w:szCs w:val="20"/>
        </w:rPr>
        <w:endnoteReference w:id="149"/>
      </w:r>
      <w:r w:rsidRPr="001D2E53">
        <w:rPr>
          <w:rFonts w:cs="Arial"/>
          <w:sz w:val="20"/>
          <w:szCs w:val="20"/>
        </w:rPr>
        <w:t xml:space="preserve">. </w:t>
      </w:r>
      <w:r>
        <w:rPr>
          <w:rFonts w:cs="Arial"/>
          <w:sz w:val="20"/>
          <w:szCs w:val="20"/>
        </w:rPr>
        <w:t>Por</w:t>
      </w:r>
      <w:r w:rsidRPr="001D2E53">
        <w:rPr>
          <w:rFonts w:cs="Arial"/>
          <w:sz w:val="20"/>
          <w:szCs w:val="20"/>
        </w:rPr>
        <w:t xml:space="preserve"> su capacidad de reducir el consumo de oxígeno en el miocardio, se ha observado un efecto beneficioso en la insuficiencia cardiaca en estudios animales que tal vez pueda beneficiar a pacientes con disfunción sistólica ventricular e hiperuricemia</w:t>
      </w:r>
      <w:r>
        <w:rPr>
          <w:rStyle w:val="Refdenotaalfinal"/>
          <w:rFonts w:cs="Arial"/>
          <w:sz w:val="20"/>
          <w:szCs w:val="20"/>
        </w:rPr>
        <w:endnoteReference w:id="150"/>
      </w:r>
      <w:r w:rsidRPr="001D2E53">
        <w:rPr>
          <w:rFonts w:cs="Arial"/>
          <w:sz w:val="20"/>
          <w:szCs w:val="20"/>
        </w:rPr>
        <w:t xml:space="preserve">, y se ha demostrado que mejora la capacidad de esfuerzo en pacientes con angina estable </w:t>
      </w:r>
      <w:r>
        <w:rPr>
          <w:rStyle w:val="Refdenotaalfinal"/>
          <w:rFonts w:cs="Arial"/>
          <w:sz w:val="20"/>
          <w:szCs w:val="20"/>
        </w:rPr>
        <w:endnoteReference w:id="151"/>
      </w:r>
      <w:r>
        <w:rPr>
          <w:rFonts w:cs="Arial"/>
          <w:sz w:val="20"/>
          <w:szCs w:val="20"/>
        </w:rPr>
        <w:t>.</w:t>
      </w:r>
    </w:p>
    <w:p w:rsidR="00E81B3D" w:rsidRPr="001D2E53" w:rsidRDefault="00E81B3D" w:rsidP="00DF3A25">
      <w:pPr>
        <w:spacing w:before="120" w:after="120"/>
        <w:ind w:left="993"/>
        <w:rPr>
          <w:rFonts w:cs="Arial"/>
          <w:sz w:val="20"/>
          <w:szCs w:val="20"/>
        </w:rPr>
      </w:pPr>
      <w:r>
        <w:rPr>
          <w:rFonts w:cs="Arial"/>
          <w:sz w:val="20"/>
          <w:szCs w:val="20"/>
        </w:rPr>
        <w:t xml:space="preserve">Entre los efectos adversos se conocen </w:t>
      </w:r>
      <w:r w:rsidRPr="001D2E53">
        <w:rPr>
          <w:rFonts w:cs="Arial"/>
          <w:sz w:val="20"/>
          <w:szCs w:val="20"/>
        </w:rPr>
        <w:t xml:space="preserve"> la aparición de una e</w:t>
      </w:r>
      <w:r>
        <w:rPr>
          <w:rFonts w:cs="Arial"/>
          <w:sz w:val="20"/>
          <w:szCs w:val="20"/>
        </w:rPr>
        <w:t xml:space="preserve">rupción cutánea máculopapular y pruriginosa y pueden </w:t>
      </w:r>
      <w:r w:rsidRPr="001D2E53">
        <w:rPr>
          <w:rFonts w:cs="Arial"/>
          <w:sz w:val="20"/>
          <w:szCs w:val="20"/>
        </w:rPr>
        <w:t xml:space="preserve"> aparecer cuadros de hipersensibilidad tipo e</w:t>
      </w:r>
      <w:r>
        <w:rPr>
          <w:rFonts w:cs="Arial"/>
          <w:sz w:val="20"/>
          <w:szCs w:val="20"/>
        </w:rPr>
        <w:t>ritema multiforme (Stevens Johnson y necró</w:t>
      </w:r>
      <w:r w:rsidRPr="001D2E53">
        <w:rPr>
          <w:rFonts w:cs="Arial"/>
          <w:sz w:val="20"/>
          <w:szCs w:val="20"/>
        </w:rPr>
        <w:t xml:space="preserve">lisis tóxica epidérmica) graves y potencialmente mortales. El uso de alopurinol junto a diuréticos tiazídicos aumenta el riesgo de hipersensibilidad, especialmente en pacientes con insuficiencia renal. </w:t>
      </w:r>
      <w:r>
        <w:rPr>
          <w:rFonts w:cs="Arial"/>
          <w:sz w:val="20"/>
          <w:szCs w:val="20"/>
        </w:rPr>
        <w:t xml:space="preserve">También puede producir </w:t>
      </w:r>
      <w:r w:rsidRPr="001D2E53">
        <w:rPr>
          <w:rFonts w:cs="Arial"/>
          <w:sz w:val="20"/>
          <w:szCs w:val="20"/>
        </w:rPr>
        <w:t xml:space="preserve"> hepatotoxicidad, trombocitopenia, anemia</w:t>
      </w:r>
      <w:r>
        <w:rPr>
          <w:rFonts w:cs="Arial"/>
          <w:sz w:val="20"/>
          <w:szCs w:val="20"/>
        </w:rPr>
        <w:t xml:space="preserve"> aplásica, agranulocitosis y ane</w:t>
      </w:r>
      <w:r w:rsidRPr="001D2E53">
        <w:rPr>
          <w:rFonts w:cs="Arial"/>
          <w:sz w:val="20"/>
          <w:szCs w:val="20"/>
        </w:rPr>
        <w:t>m</w:t>
      </w:r>
      <w:r>
        <w:rPr>
          <w:rFonts w:cs="Arial"/>
          <w:sz w:val="20"/>
          <w:szCs w:val="20"/>
        </w:rPr>
        <w:t xml:space="preserve">ia hemolítica, efectos </w:t>
      </w:r>
      <w:r w:rsidRPr="001D2E53">
        <w:rPr>
          <w:rFonts w:cs="Arial"/>
          <w:sz w:val="20"/>
          <w:szCs w:val="20"/>
        </w:rPr>
        <w:t xml:space="preserve">hematológicos (0,6%), diarrea (0,3%) y fiebre (0,3%). </w:t>
      </w:r>
    </w:p>
    <w:p w:rsidR="00E81B3D" w:rsidRDefault="00E81B3D" w:rsidP="00DF3A25">
      <w:pPr>
        <w:spacing w:before="120" w:after="120"/>
        <w:ind w:left="993"/>
        <w:rPr>
          <w:rFonts w:cs="Arial"/>
          <w:sz w:val="20"/>
          <w:szCs w:val="20"/>
        </w:rPr>
      </w:pPr>
      <w:r>
        <w:rPr>
          <w:rFonts w:cs="Arial"/>
          <w:sz w:val="20"/>
          <w:szCs w:val="20"/>
        </w:rPr>
        <w:t>A</w:t>
      </w:r>
      <w:r w:rsidRPr="00C352B1">
        <w:rPr>
          <w:rFonts w:cs="Arial"/>
          <w:sz w:val="20"/>
          <w:szCs w:val="20"/>
        </w:rPr>
        <w:t xml:space="preserve">lgunos autores recomiendan el tratamiento de la hiperuricemia asintomática con alopurinol sólo en los pacientes con ERC (especialmente con </w:t>
      </w:r>
      <w:r>
        <w:rPr>
          <w:rFonts w:cs="Arial"/>
          <w:sz w:val="20"/>
          <w:szCs w:val="20"/>
        </w:rPr>
        <w:t>concentraciones</w:t>
      </w:r>
      <w:r w:rsidRPr="00C352B1">
        <w:rPr>
          <w:rFonts w:cs="Arial"/>
          <w:sz w:val="20"/>
          <w:szCs w:val="20"/>
        </w:rPr>
        <w:t xml:space="preserve"> de ácido úrico mayor de 8 mg/dl</w:t>
      </w:r>
    </w:p>
    <w:p w:rsidR="00E81B3D" w:rsidRDefault="00E81B3D" w:rsidP="00DF3A25">
      <w:pPr>
        <w:spacing w:before="120" w:after="120"/>
        <w:ind w:left="993"/>
        <w:rPr>
          <w:rFonts w:cs="Arial"/>
          <w:sz w:val="20"/>
          <w:szCs w:val="20"/>
        </w:rPr>
      </w:pPr>
      <w:r w:rsidRPr="001D2E53">
        <w:rPr>
          <w:rFonts w:cs="Arial"/>
          <w:sz w:val="20"/>
          <w:szCs w:val="20"/>
        </w:rPr>
        <w:t>Ninguna guía de práctica clínica recomienda el tratamiento de la hiperuricemia asintomática en población general.</w:t>
      </w:r>
    </w:p>
    <w:p w:rsidR="00E81B3D" w:rsidRPr="00C352B1" w:rsidRDefault="00E81B3D" w:rsidP="00DF3A25">
      <w:pPr>
        <w:spacing w:before="120" w:after="120"/>
        <w:ind w:left="993"/>
        <w:rPr>
          <w:rFonts w:cs="Arial"/>
          <w:sz w:val="20"/>
          <w:szCs w:val="20"/>
        </w:rPr>
      </w:pPr>
      <w:r w:rsidRPr="00C352B1">
        <w:rPr>
          <w:rFonts w:cs="Arial"/>
          <w:sz w:val="20"/>
          <w:szCs w:val="20"/>
        </w:rPr>
        <w:t>Recientemente, se encuentra disponible otro fármaco, el febuxostat, inhibidor no purínico potente y selectivo de la xantinooxidasa. En pacientes con ERC leve o moderada, la administración de febuxostat ha demostrado una eficacia superior y una seguridad similar al alopurinol, sin necesidad de ajustar dosis</w:t>
      </w:r>
      <w:r w:rsidRPr="00C352B1">
        <w:rPr>
          <w:rStyle w:val="Refdenotaalfinal"/>
          <w:sz w:val="20"/>
          <w:szCs w:val="20"/>
        </w:rPr>
        <w:endnoteReference w:id="152"/>
      </w:r>
      <w:r w:rsidRPr="00C352B1">
        <w:rPr>
          <w:rFonts w:cs="Arial"/>
          <w:sz w:val="20"/>
          <w:szCs w:val="20"/>
        </w:rPr>
        <w:t>.</w:t>
      </w:r>
    </w:p>
    <w:p w:rsidR="00E81B3D" w:rsidRPr="00C352B1" w:rsidRDefault="00E81B3D" w:rsidP="004C67AB">
      <w:pPr>
        <w:spacing w:before="120" w:after="120"/>
        <w:ind w:left="993"/>
        <w:rPr>
          <w:rFonts w:cs="Arial"/>
          <w:sz w:val="20"/>
          <w:szCs w:val="20"/>
        </w:rPr>
      </w:pPr>
      <w:r w:rsidRPr="00C352B1">
        <w:rPr>
          <w:rFonts w:cs="Arial"/>
          <w:sz w:val="20"/>
          <w:szCs w:val="20"/>
        </w:rPr>
        <w:t>Por su parte, la colchicina está indicada en el tratamiento del ataque agudo de gota. En pacientes con FG entre 30 y 50 ml/min/1,73m</w:t>
      </w:r>
      <w:r w:rsidRPr="00C352B1">
        <w:rPr>
          <w:rFonts w:cs="Arial"/>
          <w:sz w:val="20"/>
          <w:szCs w:val="20"/>
          <w:vertAlign w:val="superscript"/>
        </w:rPr>
        <w:t xml:space="preserve">2 </w:t>
      </w:r>
      <w:r w:rsidRPr="00C352B1">
        <w:rPr>
          <w:rFonts w:cs="Arial"/>
          <w:sz w:val="20"/>
          <w:szCs w:val="20"/>
        </w:rPr>
        <w:t>debe reducirse la dosis. Por debajo de 30 ml/min/1,73m</w:t>
      </w:r>
      <w:r w:rsidRPr="00C352B1">
        <w:rPr>
          <w:rFonts w:cs="Arial"/>
          <w:sz w:val="20"/>
          <w:szCs w:val="20"/>
          <w:vertAlign w:val="superscript"/>
        </w:rPr>
        <w:t>2</w:t>
      </w:r>
      <w:r w:rsidRPr="00C352B1">
        <w:rPr>
          <w:rFonts w:cs="Arial"/>
          <w:sz w:val="20"/>
          <w:szCs w:val="20"/>
        </w:rPr>
        <w:t>, el uso de colchicina está contraindicado.</w:t>
      </w:r>
    </w:p>
    <w:p w:rsidR="00E81B3D" w:rsidRDefault="00E81B3D" w:rsidP="004C67AB">
      <w:pPr>
        <w:spacing w:before="120" w:after="120"/>
        <w:ind w:left="993"/>
        <w:rPr>
          <w:rFonts w:cs="Arial"/>
          <w:sz w:val="20"/>
          <w:szCs w:val="20"/>
        </w:rPr>
      </w:pPr>
    </w:p>
    <w:p w:rsidR="00E81B3D" w:rsidRPr="00215D7C" w:rsidRDefault="00E81B3D" w:rsidP="00C6171A">
      <w:pPr>
        <w:pStyle w:val="Ttulo2"/>
        <w:ind w:left="993" w:hanging="426"/>
        <w:rPr>
          <w:rFonts w:ascii="Arial" w:hAnsi="Arial" w:cs="Arial"/>
          <w:i w:val="0"/>
          <w:sz w:val="20"/>
          <w:szCs w:val="20"/>
        </w:rPr>
      </w:pPr>
      <w:bookmarkStart w:id="65" w:name="_Toc341725535"/>
      <w:r w:rsidRPr="00215D7C">
        <w:rPr>
          <w:rFonts w:ascii="Arial" w:hAnsi="Arial" w:cs="Arial"/>
          <w:i w:val="0"/>
          <w:sz w:val="20"/>
          <w:szCs w:val="20"/>
        </w:rPr>
        <w:t>Anemia.</w:t>
      </w:r>
      <w:bookmarkEnd w:id="65"/>
    </w:p>
    <w:p w:rsidR="00E81B3D" w:rsidRPr="00C352B1" w:rsidRDefault="00E81B3D" w:rsidP="00080F1B">
      <w:pPr>
        <w:spacing w:before="120" w:after="120"/>
        <w:ind w:left="993"/>
        <w:rPr>
          <w:rFonts w:cs="Arial"/>
          <w:sz w:val="20"/>
          <w:szCs w:val="20"/>
        </w:rPr>
      </w:pPr>
      <w:bookmarkStart w:id="66" w:name="_Toc316486476"/>
      <w:bookmarkStart w:id="67" w:name="_Toc316486575"/>
      <w:r w:rsidRPr="00C352B1">
        <w:rPr>
          <w:rFonts w:cs="Arial"/>
          <w:sz w:val="20"/>
          <w:szCs w:val="20"/>
        </w:rPr>
        <w:t>La anemia es una complicación frecuente de la ERC que se asocia con una disminución en la calidad de vida de los pacientes y un aumento en el riesgo de padecer otras complicaciones clínicas, entre ellas un importante incremento del riesgo cardiovascular (RCV). La principal causa de anemia en la ERC es la producción inadecuada de eritropoyetina endógena, hormona que actúa sobre la diferenciación y maduración de los precursores de la serie roja. La anemia aparece en estadios precoces de la enfermedad, - estadios KDOQI 2 y 3-, con descenso de la hemoglobina (Hb) cuando la tasa de filtrado glomerular se sitúa alrededor de 70 ml/min/1,73m</w:t>
      </w:r>
      <w:r w:rsidRPr="00C352B1">
        <w:rPr>
          <w:rFonts w:cs="Arial"/>
          <w:sz w:val="20"/>
          <w:szCs w:val="20"/>
          <w:vertAlign w:val="superscript"/>
        </w:rPr>
        <w:t>2</w:t>
      </w:r>
      <w:r w:rsidRPr="00C352B1">
        <w:rPr>
          <w:rFonts w:cs="Arial"/>
          <w:sz w:val="20"/>
          <w:szCs w:val="20"/>
        </w:rPr>
        <w:t xml:space="preserve"> (hombres) y 50 ml/min/1,73m</w:t>
      </w:r>
      <w:r w:rsidRPr="00C352B1">
        <w:rPr>
          <w:rFonts w:cs="Arial"/>
          <w:sz w:val="20"/>
          <w:szCs w:val="20"/>
          <w:vertAlign w:val="superscript"/>
        </w:rPr>
        <w:t>2</w:t>
      </w:r>
      <w:r w:rsidRPr="00C352B1">
        <w:rPr>
          <w:rFonts w:cs="Arial"/>
          <w:sz w:val="20"/>
          <w:szCs w:val="20"/>
        </w:rPr>
        <w:t xml:space="preserve"> (mujeres). En estadios más avanzados y en pacientes en diálisis, alrededor del 90% de los pacientes presenta anemia</w:t>
      </w:r>
      <w:r w:rsidRPr="00C352B1">
        <w:rPr>
          <w:rStyle w:val="Refdenotaalfinal"/>
          <w:sz w:val="20"/>
          <w:szCs w:val="20"/>
        </w:rPr>
        <w:endnoteReference w:id="153"/>
      </w:r>
      <w:r w:rsidRPr="00C352B1">
        <w:rPr>
          <w:rFonts w:cs="Arial"/>
          <w:sz w:val="20"/>
          <w:szCs w:val="20"/>
        </w:rPr>
        <w:t>.</w:t>
      </w:r>
    </w:p>
    <w:p w:rsidR="00E81B3D" w:rsidRDefault="00E81B3D" w:rsidP="00633C54">
      <w:pPr>
        <w:spacing w:before="120" w:after="120"/>
        <w:ind w:left="993"/>
        <w:rPr>
          <w:sz w:val="20"/>
          <w:szCs w:val="20"/>
        </w:rPr>
      </w:pPr>
      <w:r w:rsidRPr="00C352B1">
        <w:rPr>
          <w:sz w:val="20"/>
          <w:szCs w:val="20"/>
        </w:rPr>
        <w:t>En pacientes con ERC, la anemia se define como la situación en la que la concentración de Hb en sangre, se encuentra dos desviaciones estándar por debajo de la concentración media de Hb de la población general, corregida por edad y sexo</w:t>
      </w:r>
      <w:r w:rsidRPr="00C352B1">
        <w:rPr>
          <w:rStyle w:val="Refdenotaalfinal"/>
          <w:sz w:val="20"/>
          <w:szCs w:val="20"/>
        </w:rPr>
        <w:endnoteReference w:id="154"/>
      </w:r>
      <w:r w:rsidRPr="00C352B1">
        <w:rPr>
          <w:sz w:val="20"/>
          <w:szCs w:val="20"/>
        </w:rPr>
        <w:t xml:space="preserve">. </w:t>
      </w:r>
      <w:r w:rsidRPr="00C352B1">
        <w:rPr>
          <w:rFonts w:cs="Arial"/>
          <w:sz w:val="20"/>
          <w:szCs w:val="20"/>
        </w:rPr>
        <w:t>El límite inferior de la concentración de Hb a partir del cual se considera anemia en mujeres es de 11,5g/dL</w:t>
      </w:r>
      <w:r w:rsidRPr="00C352B1">
        <w:rPr>
          <w:rStyle w:val="Refdenotaalfinal"/>
          <w:sz w:val="20"/>
          <w:szCs w:val="20"/>
        </w:rPr>
        <w:endnoteReference w:id="155"/>
      </w:r>
      <w:r w:rsidRPr="00CF790B">
        <w:rPr>
          <w:rFonts w:cs="Arial"/>
          <w:sz w:val="20"/>
          <w:szCs w:val="20"/>
        </w:rPr>
        <w:t>, s</w:t>
      </w:r>
      <w:r w:rsidRPr="00C352B1">
        <w:rPr>
          <w:rFonts w:cs="Arial"/>
          <w:sz w:val="20"/>
          <w:szCs w:val="20"/>
        </w:rPr>
        <w:t>egún la Sociedad Esp</w:t>
      </w:r>
      <w:r w:rsidR="00845556">
        <w:rPr>
          <w:rFonts w:cs="Arial"/>
          <w:sz w:val="20"/>
          <w:szCs w:val="20"/>
        </w:rPr>
        <w:t xml:space="preserve">añola de Nefrología (SEN), </w:t>
      </w:r>
      <w:r w:rsidRPr="00C352B1">
        <w:rPr>
          <w:rFonts w:cs="Arial"/>
          <w:sz w:val="20"/>
          <w:szCs w:val="20"/>
        </w:rPr>
        <w:t xml:space="preserve">la Organización Mundial de la Salud (OMS), la KDOQI y la European Renal Best Practice (ERBP) </w:t>
      </w:r>
      <w:r w:rsidRPr="00C352B1">
        <w:rPr>
          <w:rStyle w:val="Refdenotaalfinal"/>
          <w:sz w:val="20"/>
          <w:szCs w:val="20"/>
        </w:rPr>
        <w:endnoteReference w:id="156"/>
      </w:r>
      <w:r w:rsidRPr="00C352B1">
        <w:rPr>
          <w:rFonts w:cs="Arial"/>
          <w:sz w:val="20"/>
          <w:szCs w:val="20"/>
        </w:rPr>
        <w:t>. El límite inferior de la concentración de Hb en hombres de edad inferior a 70 años según la SEN, KDOQI y la ERBP es de 13,5 g/dl y de 13g/dl según la OMS. En el caso de hombres de edad superior a 70 años la SEN y la OMS fijan los límites inferiores de Hb en 12g/dL, la KDOQI y la ERBP en 13,5 g/dL.</w:t>
      </w:r>
    </w:p>
    <w:p w:rsidR="00651852" w:rsidRPr="00633C54" w:rsidRDefault="00651852" w:rsidP="00633C54">
      <w:pPr>
        <w:spacing w:before="120" w:after="120"/>
        <w:ind w:left="993"/>
        <w:rPr>
          <w:sz w:val="20"/>
          <w:szCs w:val="20"/>
        </w:rPr>
      </w:pPr>
    </w:p>
    <w:p w:rsidR="00E81B3D" w:rsidRPr="00215D7C" w:rsidRDefault="00E81B3D" w:rsidP="00885AE4">
      <w:pPr>
        <w:pStyle w:val="Ttulo2"/>
        <w:ind w:left="993" w:hanging="426"/>
        <w:rPr>
          <w:rFonts w:ascii="Arial" w:hAnsi="Arial" w:cs="Arial"/>
          <w:i w:val="0"/>
          <w:sz w:val="20"/>
          <w:szCs w:val="20"/>
        </w:rPr>
      </w:pPr>
      <w:bookmarkStart w:id="68" w:name="_Toc341725536"/>
      <w:r w:rsidRPr="00215D7C">
        <w:rPr>
          <w:rFonts w:ascii="Arial" w:hAnsi="Arial" w:cs="Arial"/>
          <w:i w:val="0"/>
          <w:sz w:val="20"/>
          <w:szCs w:val="20"/>
        </w:rPr>
        <w:t>Diagnóstico de la anemia, evaluación y criterios para la administración de hierro y AEE.</w:t>
      </w:r>
      <w:bookmarkEnd w:id="66"/>
      <w:bookmarkEnd w:id="67"/>
      <w:bookmarkEnd w:id="68"/>
    </w:p>
    <w:p w:rsidR="00E81B3D" w:rsidRPr="00C352B1" w:rsidRDefault="00E81B3D" w:rsidP="00783FB0">
      <w:pPr>
        <w:numPr>
          <w:ilvl w:val="0"/>
          <w:numId w:val="2"/>
        </w:numPr>
        <w:spacing w:before="120" w:after="120"/>
        <w:ind w:left="1276" w:hanging="283"/>
        <w:rPr>
          <w:rFonts w:cs="Arial"/>
          <w:sz w:val="20"/>
          <w:szCs w:val="20"/>
        </w:rPr>
      </w:pPr>
      <w:r w:rsidRPr="00C352B1">
        <w:rPr>
          <w:rFonts w:cs="Arial"/>
          <w:b/>
          <w:sz w:val="20"/>
          <w:szCs w:val="20"/>
        </w:rPr>
        <w:t>Características de la Anemia en la ER</w:t>
      </w:r>
      <w:r>
        <w:rPr>
          <w:rFonts w:cs="Arial"/>
          <w:b/>
          <w:sz w:val="20"/>
          <w:szCs w:val="20"/>
        </w:rPr>
        <w:t>C</w:t>
      </w:r>
    </w:p>
    <w:p w:rsidR="00E81B3D" w:rsidRPr="00C352B1" w:rsidRDefault="00E81B3D" w:rsidP="00C352B1">
      <w:pPr>
        <w:spacing w:before="120" w:after="120"/>
        <w:ind w:left="993"/>
        <w:rPr>
          <w:rFonts w:cs="Arial"/>
          <w:sz w:val="20"/>
          <w:szCs w:val="20"/>
        </w:rPr>
      </w:pPr>
      <w:r w:rsidRPr="00C352B1">
        <w:rPr>
          <w:rFonts w:cs="Arial"/>
          <w:sz w:val="20"/>
          <w:szCs w:val="20"/>
        </w:rPr>
        <w:t>La anemia asociada a la ERC habitualmente es normocítica y normocrómica en su origen y está relacionado con una disminución de la producción de eritropoyetina por la células peritubulares, baja respuesta de la médula ósea, producción aumentada de hepcidina y disminución de la disponibilidad de hierro para la eritropoyesis</w:t>
      </w:r>
      <w:fldSimple w:instr=" NOTEREF _Ref343104596 \f  \* MERGEFORMAT ">
        <w:r w:rsidR="00852CBE" w:rsidRPr="00852CBE">
          <w:rPr>
            <w:rStyle w:val="Refdenotaalfinal"/>
            <w:sz w:val="20"/>
            <w:szCs w:val="20"/>
          </w:rPr>
          <w:t>2</w:t>
        </w:r>
      </w:fldSimple>
      <w:r w:rsidRPr="00C352B1">
        <w:rPr>
          <w:rFonts w:cs="Arial"/>
          <w:sz w:val="20"/>
          <w:szCs w:val="20"/>
        </w:rPr>
        <w:t>.</w:t>
      </w:r>
    </w:p>
    <w:p w:rsidR="00E81B3D" w:rsidRPr="00DA3051" w:rsidRDefault="00E81B3D" w:rsidP="0055155B">
      <w:pPr>
        <w:numPr>
          <w:ilvl w:val="0"/>
          <w:numId w:val="2"/>
        </w:numPr>
        <w:spacing w:before="120" w:after="120"/>
        <w:ind w:left="1276" w:hanging="283"/>
        <w:rPr>
          <w:rFonts w:cs="Arial"/>
          <w:b/>
          <w:sz w:val="20"/>
          <w:szCs w:val="20"/>
        </w:rPr>
      </w:pPr>
      <w:r>
        <w:rPr>
          <w:rFonts w:cs="Arial"/>
          <w:b/>
          <w:sz w:val="20"/>
          <w:szCs w:val="20"/>
        </w:rPr>
        <w:t>Cuá</w:t>
      </w:r>
      <w:r w:rsidRPr="00DA3051">
        <w:rPr>
          <w:rFonts w:cs="Arial"/>
          <w:b/>
          <w:sz w:val="20"/>
          <w:szCs w:val="20"/>
        </w:rPr>
        <w:t>ndo iniciar el estudio de la anemia</w:t>
      </w:r>
      <w:r>
        <w:rPr>
          <w:rFonts w:cs="Arial"/>
          <w:b/>
          <w:sz w:val="20"/>
          <w:szCs w:val="20"/>
        </w:rPr>
        <w:t xml:space="preserve"> </w:t>
      </w:r>
      <w:r w:rsidRPr="00DA3051">
        <w:rPr>
          <w:rFonts w:cs="Arial"/>
          <w:b/>
          <w:sz w:val="20"/>
          <w:szCs w:val="20"/>
        </w:rPr>
        <w:t>en la ERC</w:t>
      </w:r>
    </w:p>
    <w:p w:rsidR="00E81B3D" w:rsidRPr="00DA3051" w:rsidRDefault="00E81B3D" w:rsidP="00783FB0">
      <w:pPr>
        <w:numPr>
          <w:ilvl w:val="0"/>
          <w:numId w:val="3"/>
        </w:numPr>
        <w:spacing w:before="120" w:after="120"/>
        <w:ind w:left="1560" w:hanging="284"/>
        <w:rPr>
          <w:rFonts w:cs="Arial"/>
          <w:sz w:val="20"/>
          <w:szCs w:val="20"/>
        </w:rPr>
      </w:pPr>
      <w:r>
        <w:rPr>
          <w:rFonts w:cs="Arial"/>
          <w:sz w:val="20"/>
          <w:szCs w:val="20"/>
        </w:rPr>
        <w:t>Cuando la cifra de</w:t>
      </w:r>
      <w:r w:rsidRPr="00DA3051">
        <w:rPr>
          <w:rFonts w:cs="Arial"/>
          <w:sz w:val="20"/>
          <w:szCs w:val="20"/>
        </w:rPr>
        <w:t xml:space="preserve"> Hb sea &lt;11g/dl en mujeres premenop</w:t>
      </w:r>
      <w:r>
        <w:rPr>
          <w:rFonts w:cs="Arial"/>
          <w:sz w:val="20"/>
          <w:szCs w:val="20"/>
        </w:rPr>
        <w:t>áusicas y pacientes prepúberes.</w:t>
      </w:r>
    </w:p>
    <w:p w:rsidR="00E81B3D" w:rsidRDefault="00E81B3D" w:rsidP="00783FB0">
      <w:pPr>
        <w:numPr>
          <w:ilvl w:val="0"/>
          <w:numId w:val="3"/>
        </w:numPr>
        <w:spacing w:before="120" w:after="120"/>
        <w:ind w:left="1560" w:hanging="284"/>
        <w:rPr>
          <w:rFonts w:cs="Arial"/>
          <w:sz w:val="20"/>
          <w:szCs w:val="20"/>
        </w:rPr>
      </w:pPr>
      <w:r>
        <w:rPr>
          <w:rFonts w:cs="Arial"/>
          <w:sz w:val="20"/>
          <w:szCs w:val="20"/>
        </w:rPr>
        <w:t>Cuando la cifra de</w:t>
      </w:r>
      <w:r w:rsidRPr="00DA3051">
        <w:rPr>
          <w:rFonts w:cs="Arial"/>
          <w:sz w:val="20"/>
          <w:szCs w:val="20"/>
        </w:rPr>
        <w:t xml:space="preserve"> Hb sea &lt;12g/dl en hombres adultos y mujeres postmenopáusicas.</w:t>
      </w:r>
    </w:p>
    <w:p w:rsidR="00E81B3D" w:rsidRPr="00DA3051" w:rsidRDefault="00E81B3D" w:rsidP="0055155B">
      <w:pPr>
        <w:numPr>
          <w:ilvl w:val="0"/>
          <w:numId w:val="2"/>
        </w:numPr>
        <w:spacing w:before="120" w:after="120"/>
        <w:ind w:left="1276" w:hanging="283"/>
        <w:rPr>
          <w:rFonts w:cs="Arial"/>
          <w:b/>
          <w:sz w:val="20"/>
          <w:szCs w:val="20"/>
        </w:rPr>
      </w:pPr>
      <w:r w:rsidRPr="00DA3051">
        <w:rPr>
          <w:rFonts w:cs="Arial"/>
          <w:b/>
          <w:sz w:val="20"/>
          <w:szCs w:val="20"/>
        </w:rPr>
        <w:t>Cómo estudiar la anemia de la ERC, peticiones de laboratorio</w:t>
      </w:r>
    </w:p>
    <w:p w:rsidR="00E81B3D" w:rsidRPr="00C352B1" w:rsidRDefault="00E81B3D" w:rsidP="00783FB0">
      <w:pPr>
        <w:numPr>
          <w:ilvl w:val="0"/>
          <w:numId w:val="3"/>
        </w:numPr>
        <w:spacing w:before="120" w:after="120"/>
        <w:ind w:left="1560" w:hanging="284"/>
        <w:rPr>
          <w:rFonts w:cs="Arial"/>
          <w:sz w:val="20"/>
          <w:szCs w:val="20"/>
        </w:rPr>
      </w:pPr>
      <w:r w:rsidRPr="00C352B1">
        <w:rPr>
          <w:rFonts w:cs="Arial"/>
          <w:sz w:val="20"/>
          <w:szCs w:val="20"/>
        </w:rPr>
        <w:t>Hemograma</w:t>
      </w:r>
    </w:p>
    <w:p w:rsidR="00E81B3D" w:rsidRPr="00C352B1" w:rsidRDefault="00E81B3D" w:rsidP="00783FB0">
      <w:pPr>
        <w:numPr>
          <w:ilvl w:val="0"/>
          <w:numId w:val="3"/>
        </w:numPr>
        <w:spacing w:before="120" w:after="120"/>
        <w:ind w:left="1560" w:hanging="284"/>
        <w:rPr>
          <w:rFonts w:cs="Arial"/>
          <w:sz w:val="20"/>
          <w:szCs w:val="20"/>
        </w:rPr>
      </w:pPr>
      <w:r w:rsidRPr="00C352B1">
        <w:rPr>
          <w:rFonts w:cs="Arial"/>
          <w:sz w:val="20"/>
          <w:szCs w:val="20"/>
        </w:rPr>
        <w:t>Reticulocitos.</w:t>
      </w:r>
    </w:p>
    <w:p w:rsidR="00E81B3D" w:rsidRPr="00C352B1" w:rsidRDefault="00E81B3D" w:rsidP="00080F1B">
      <w:pPr>
        <w:numPr>
          <w:ilvl w:val="0"/>
          <w:numId w:val="3"/>
        </w:numPr>
        <w:spacing w:before="120" w:after="120"/>
        <w:ind w:left="1560" w:hanging="284"/>
        <w:rPr>
          <w:rFonts w:cs="Arial"/>
          <w:sz w:val="20"/>
          <w:szCs w:val="20"/>
        </w:rPr>
      </w:pPr>
      <w:r w:rsidRPr="00C352B1">
        <w:rPr>
          <w:rFonts w:cs="Arial"/>
          <w:sz w:val="20"/>
          <w:szCs w:val="20"/>
        </w:rPr>
        <w:t>Parámetros de metabolismo férrico: hierro, ferritina, transferrina, índice de saturación de la transferrina (ISAT).</w:t>
      </w:r>
    </w:p>
    <w:p w:rsidR="00E81B3D" w:rsidRPr="00845556" w:rsidRDefault="00E81B3D" w:rsidP="00080F1B">
      <w:pPr>
        <w:numPr>
          <w:ilvl w:val="0"/>
          <w:numId w:val="3"/>
        </w:numPr>
        <w:spacing w:before="120" w:after="120"/>
        <w:ind w:left="1560" w:hanging="284"/>
        <w:rPr>
          <w:rFonts w:cs="Arial"/>
          <w:sz w:val="20"/>
          <w:szCs w:val="20"/>
        </w:rPr>
      </w:pPr>
      <w:r w:rsidRPr="00C352B1">
        <w:rPr>
          <w:rFonts w:cs="Arial"/>
          <w:sz w:val="20"/>
          <w:szCs w:val="20"/>
        </w:rPr>
        <w:t xml:space="preserve">Descartar </w:t>
      </w:r>
      <w:r w:rsidRPr="00CE3260">
        <w:rPr>
          <w:rFonts w:cs="Arial"/>
          <w:sz w:val="20"/>
          <w:szCs w:val="20"/>
        </w:rPr>
        <w:t>pérdidas sanguíneas intestinales (si anemia hiporcroma microcítica o sospecha de sangrado digestivo.</w:t>
      </w:r>
    </w:p>
    <w:p w:rsidR="00E81B3D" w:rsidRPr="00845556" w:rsidRDefault="00845556" w:rsidP="00845556">
      <w:pPr>
        <w:numPr>
          <w:ilvl w:val="0"/>
          <w:numId w:val="3"/>
        </w:numPr>
        <w:spacing w:before="120" w:after="120"/>
        <w:ind w:left="1560" w:hanging="284"/>
        <w:rPr>
          <w:rFonts w:cs="Arial"/>
          <w:sz w:val="20"/>
          <w:szCs w:val="20"/>
        </w:rPr>
      </w:pPr>
      <w:r w:rsidRPr="00845556">
        <w:rPr>
          <w:sz w:val="20"/>
          <w:szCs w:val="20"/>
        </w:rPr>
        <w:t>En pacientes con ERC-5 en hemodiálisis (ERC 5D) se aconseja que las muestras se obtengan inmediatamente antes de la sesión de diálisis y en el día intermedio de la semana.</w:t>
      </w:r>
    </w:p>
    <w:p w:rsidR="00E81B3D" w:rsidRPr="00CE3260" w:rsidRDefault="00E81B3D" w:rsidP="00080F1B">
      <w:pPr>
        <w:numPr>
          <w:ilvl w:val="0"/>
          <w:numId w:val="2"/>
        </w:numPr>
        <w:spacing w:before="120" w:after="120"/>
        <w:ind w:left="1276" w:hanging="283"/>
        <w:rPr>
          <w:rFonts w:cs="Arial"/>
          <w:b/>
          <w:sz w:val="20"/>
          <w:szCs w:val="20"/>
        </w:rPr>
      </w:pPr>
      <w:r w:rsidRPr="00CE3260">
        <w:rPr>
          <w:rFonts w:cs="Arial"/>
          <w:b/>
          <w:sz w:val="20"/>
          <w:szCs w:val="20"/>
        </w:rPr>
        <w:t>Objetivos</w:t>
      </w:r>
    </w:p>
    <w:p w:rsidR="00E81B3D" w:rsidRPr="00CE3260" w:rsidRDefault="00E81B3D" w:rsidP="00783FB0">
      <w:pPr>
        <w:spacing w:before="120" w:after="120"/>
        <w:ind w:left="1276"/>
        <w:rPr>
          <w:rFonts w:cs="Arial"/>
          <w:sz w:val="20"/>
          <w:szCs w:val="20"/>
        </w:rPr>
      </w:pPr>
      <w:r w:rsidRPr="00CE3260">
        <w:rPr>
          <w:rFonts w:cs="Arial"/>
          <w:sz w:val="20"/>
          <w:szCs w:val="20"/>
        </w:rPr>
        <w:t>En el paciente con ERC deben buscarse objetivos de control de Hb entre 10 y 12 g/dl en adultos, valorando síntomas y comorbilidades. Si en el paciente con ERC 3B-5 se comprueba Hb &lt; 10.5-11 g/dl debe remitirse a Nefrología si el paciente no estaba en seguimiento o adelantar la revisión.</w:t>
      </w:r>
    </w:p>
    <w:p w:rsidR="00E81B3D" w:rsidRPr="00CE3260" w:rsidRDefault="00E81B3D" w:rsidP="0055155B">
      <w:pPr>
        <w:numPr>
          <w:ilvl w:val="0"/>
          <w:numId w:val="2"/>
        </w:numPr>
        <w:spacing w:before="120" w:after="120"/>
        <w:ind w:left="1276" w:hanging="283"/>
        <w:rPr>
          <w:rFonts w:cs="Arial"/>
          <w:b/>
          <w:sz w:val="20"/>
          <w:szCs w:val="20"/>
        </w:rPr>
      </w:pPr>
      <w:r w:rsidRPr="00CE3260">
        <w:rPr>
          <w:rFonts w:cs="Arial"/>
          <w:b/>
          <w:sz w:val="20"/>
          <w:szCs w:val="20"/>
        </w:rPr>
        <w:t>Metabolismo del hierro (Fe) requerido previo al inicio de tratamiento con Agentes Estimulantes de la Eritropoyesis (AEE)</w:t>
      </w:r>
    </w:p>
    <w:p w:rsidR="00E81B3D" w:rsidRPr="00CE3260" w:rsidRDefault="00E81B3D" w:rsidP="00983561">
      <w:pPr>
        <w:spacing w:before="120" w:after="120"/>
        <w:ind w:left="1276"/>
        <w:rPr>
          <w:rFonts w:cs="Arial"/>
          <w:sz w:val="20"/>
          <w:szCs w:val="20"/>
        </w:rPr>
      </w:pPr>
      <w:bookmarkStart w:id="69" w:name="_Toc316486477"/>
      <w:bookmarkStart w:id="70" w:name="_Toc316486576"/>
      <w:r w:rsidRPr="00CE3260">
        <w:rPr>
          <w:rFonts w:cs="Arial"/>
          <w:sz w:val="20"/>
          <w:szCs w:val="20"/>
        </w:rPr>
        <w:t>Deben existir reservas suficientes para alcanzar y mantener la Hb objetivo:</w:t>
      </w:r>
    </w:p>
    <w:p w:rsidR="00E81B3D" w:rsidRPr="00CE3260" w:rsidRDefault="00E81B3D" w:rsidP="00983561">
      <w:pPr>
        <w:numPr>
          <w:ilvl w:val="0"/>
          <w:numId w:val="3"/>
        </w:numPr>
        <w:spacing w:before="120" w:after="120"/>
        <w:ind w:left="1560" w:hanging="284"/>
        <w:rPr>
          <w:rFonts w:cs="Arial"/>
          <w:sz w:val="20"/>
          <w:szCs w:val="20"/>
        </w:rPr>
      </w:pPr>
      <w:r w:rsidRPr="00CE3260">
        <w:rPr>
          <w:rFonts w:cs="Arial"/>
          <w:sz w:val="20"/>
          <w:szCs w:val="20"/>
        </w:rPr>
        <w:t>ISAT ≥ 20% y &lt; 50 %.</w:t>
      </w:r>
    </w:p>
    <w:p w:rsidR="00E81B3D" w:rsidRPr="00CE3260" w:rsidRDefault="00E81B3D" w:rsidP="00983561">
      <w:pPr>
        <w:numPr>
          <w:ilvl w:val="0"/>
          <w:numId w:val="3"/>
        </w:numPr>
        <w:spacing w:before="120" w:after="120"/>
        <w:ind w:left="1560" w:hanging="284"/>
        <w:rPr>
          <w:rFonts w:cs="Arial"/>
          <w:sz w:val="20"/>
          <w:szCs w:val="20"/>
        </w:rPr>
      </w:pPr>
      <w:r w:rsidRPr="00CE3260">
        <w:rPr>
          <w:rFonts w:cs="Arial"/>
          <w:sz w:val="20"/>
          <w:szCs w:val="20"/>
        </w:rPr>
        <w:t>Ferritina ≥ 100 ng/ml y &lt; 500 ng/ml, - en situación pre-diálisis-, u 800 ng/ml (diálisis).</w:t>
      </w:r>
    </w:p>
    <w:p w:rsidR="00E81B3D" w:rsidRPr="00CE3260" w:rsidRDefault="00E81B3D" w:rsidP="00983561">
      <w:pPr>
        <w:spacing w:before="120" w:after="120"/>
        <w:ind w:left="1276"/>
        <w:rPr>
          <w:rFonts w:cs="Arial"/>
          <w:sz w:val="20"/>
          <w:szCs w:val="20"/>
        </w:rPr>
      </w:pPr>
      <w:r w:rsidRPr="00CE3260">
        <w:rPr>
          <w:rFonts w:cs="Arial"/>
          <w:sz w:val="20"/>
          <w:szCs w:val="20"/>
        </w:rPr>
        <w:lastRenderedPageBreak/>
        <w:t xml:space="preserve">Durante el tratamiento con AEE se reitera el estudio del metabolismo férrico cada 3 meses, si reciben Fe i/v. </w:t>
      </w:r>
    </w:p>
    <w:p w:rsidR="00E81B3D" w:rsidRPr="00C352B1" w:rsidRDefault="00E81B3D" w:rsidP="00983561">
      <w:pPr>
        <w:spacing w:before="120" w:after="120"/>
        <w:ind w:left="1276"/>
        <w:rPr>
          <w:rFonts w:cs="Arial"/>
          <w:sz w:val="20"/>
          <w:szCs w:val="20"/>
        </w:rPr>
      </w:pPr>
      <w:r w:rsidRPr="00C352B1">
        <w:rPr>
          <w:rFonts w:cs="Arial"/>
          <w:sz w:val="20"/>
          <w:szCs w:val="20"/>
        </w:rPr>
        <w:t>En pacientes con AEE sin Fe i/v el control debe ser mensual hasta estabilizar la Hb, entre 10 y 12 g/dl.</w:t>
      </w:r>
    </w:p>
    <w:p w:rsidR="00E81B3D" w:rsidRPr="00C352B1" w:rsidRDefault="00E81B3D" w:rsidP="00983561">
      <w:pPr>
        <w:spacing w:before="120" w:after="120"/>
        <w:ind w:left="1276"/>
        <w:rPr>
          <w:rFonts w:cs="Arial"/>
          <w:sz w:val="20"/>
          <w:szCs w:val="20"/>
        </w:rPr>
      </w:pPr>
      <w:r w:rsidRPr="00C352B1">
        <w:rPr>
          <w:rFonts w:cs="Arial"/>
          <w:sz w:val="20"/>
          <w:szCs w:val="20"/>
        </w:rPr>
        <w:t>En pacientes con DM se recomienda no iniciar tratamiento con AEE hasta Hb &lt; 10  g/dl, si el paciente tiene antecedente de episodio de AVC.</w:t>
      </w:r>
    </w:p>
    <w:p w:rsidR="00E81B3D" w:rsidRPr="00C352B1" w:rsidRDefault="00E81B3D" w:rsidP="00A45F61">
      <w:pPr>
        <w:spacing w:before="120" w:after="120"/>
        <w:ind w:left="1276"/>
        <w:rPr>
          <w:rFonts w:cs="Arial"/>
          <w:sz w:val="20"/>
          <w:szCs w:val="20"/>
        </w:rPr>
      </w:pPr>
      <w:r w:rsidRPr="00C352B1">
        <w:rPr>
          <w:rFonts w:cs="Arial"/>
          <w:sz w:val="20"/>
          <w:szCs w:val="20"/>
        </w:rPr>
        <w:t>En pacientes no tratados con EPO, el objetivo ha de situarse en ISAT ≥ 20% y ferritina ≥ 100 ng/ml. El control debe realizarse cada 3-6 meses.</w:t>
      </w:r>
    </w:p>
    <w:p w:rsidR="00E81B3D" w:rsidRPr="00C352B1" w:rsidRDefault="00E81B3D" w:rsidP="00983561">
      <w:pPr>
        <w:spacing w:before="120" w:after="120"/>
        <w:ind w:left="1276"/>
        <w:rPr>
          <w:rFonts w:cs="Arial"/>
          <w:sz w:val="20"/>
          <w:szCs w:val="20"/>
        </w:rPr>
      </w:pPr>
      <w:r w:rsidRPr="00C352B1">
        <w:rPr>
          <w:rFonts w:cs="Arial"/>
          <w:sz w:val="20"/>
          <w:szCs w:val="20"/>
        </w:rPr>
        <w:t>La determinación del mismo debe ser 15 días después de la última dosis de Fe i.v.</w:t>
      </w:r>
    </w:p>
    <w:p w:rsidR="00E81B3D" w:rsidRPr="00DA3051" w:rsidRDefault="00E81B3D" w:rsidP="00983561">
      <w:pPr>
        <w:numPr>
          <w:ilvl w:val="0"/>
          <w:numId w:val="2"/>
        </w:numPr>
        <w:spacing w:before="120" w:after="120"/>
        <w:ind w:left="1276" w:hanging="283"/>
        <w:rPr>
          <w:rFonts w:cs="Arial"/>
          <w:b/>
          <w:sz w:val="20"/>
          <w:szCs w:val="20"/>
        </w:rPr>
      </w:pPr>
      <w:r>
        <w:rPr>
          <w:rFonts w:cs="Arial"/>
          <w:b/>
          <w:sz w:val="20"/>
          <w:szCs w:val="20"/>
        </w:rPr>
        <w:t xml:space="preserve">Pauta de administración de </w:t>
      </w:r>
      <w:r w:rsidRPr="006E7715">
        <w:rPr>
          <w:rFonts w:cs="Arial"/>
          <w:b/>
          <w:sz w:val="20"/>
          <w:szCs w:val="20"/>
        </w:rPr>
        <w:t>Fe</w:t>
      </w:r>
      <w:r>
        <w:rPr>
          <w:rFonts w:cs="Arial"/>
          <w:b/>
          <w:sz w:val="20"/>
          <w:szCs w:val="20"/>
        </w:rPr>
        <w:t xml:space="preserve"> intravenosos (</w:t>
      </w:r>
      <w:r w:rsidRPr="006E7715">
        <w:rPr>
          <w:rFonts w:cs="Arial"/>
          <w:b/>
          <w:sz w:val="20"/>
          <w:szCs w:val="20"/>
        </w:rPr>
        <w:t xml:space="preserve"> i.v.</w:t>
      </w:r>
      <w:r>
        <w:rPr>
          <w:rFonts w:cs="Arial"/>
          <w:b/>
          <w:sz w:val="20"/>
          <w:szCs w:val="20"/>
        </w:rPr>
        <w:t>)</w:t>
      </w:r>
    </w:p>
    <w:p w:rsidR="00E81B3D" w:rsidRPr="00CE3260" w:rsidRDefault="00E81B3D" w:rsidP="00983561">
      <w:pPr>
        <w:spacing w:before="120" w:after="120"/>
        <w:ind w:left="1276"/>
        <w:rPr>
          <w:rFonts w:cs="Arial"/>
          <w:sz w:val="20"/>
          <w:szCs w:val="20"/>
        </w:rPr>
      </w:pPr>
      <w:r w:rsidRPr="006E7715">
        <w:rPr>
          <w:rFonts w:cs="Arial"/>
          <w:sz w:val="20"/>
          <w:szCs w:val="20"/>
        </w:rPr>
        <w:t xml:space="preserve">Se administra con el fin de </w:t>
      </w:r>
      <w:r w:rsidRPr="00CE3260">
        <w:rPr>
          <w:rFonts w:cs="Arial"/>
          <w:sz w:val="20"/>
          <w:szCs w:val="20"/>
        </w:rPr>
        <w:t>prevenir el déficit y mantener las reservas férricas para alcanzar y mantener el Hto /Hb objetivo. La administración debe realizarse en centro hospitalario.</w:t>
      </w:r>
    </w:p>
    <w:p w:rsidR="00E81B3D" w:rsidRPr="00CE3260" w:rsidRDefault="00E81B3D" w:rsidP="00983561">
      <w:pPr>
        <w:numPr>
          <w:ilvl w:val="0"/>
          <w:numId w:val="2"/>
        </w:numPr>
        <w:spacing w:before="120" w:after="120"/>
        <w:ind w:left="1276" w:hanging="283"/>
        <w:rPr>
          <w:rFonts w:cs="Arial"/>
          <w:sz w:val="20"/>
          <w:szCs w:val="20"/>
        </w:rPr>
      </w:pPr>
      <w:r w:rsidRPr="00CE3260">
        <w:rPr>
          <w:rFonts w:cs="Arial"/>
          <w:b/>
          <w:sz w:val="20"/>
          <w:szCs w:val="20"/>
        </w:rPr>
        <w:t>Pauta de administración de Fe</w:t>
      </w:r>
      <w:r w:rsidR="00845556">
        <w:rPr>
          <w:rFonts w:cs="Arial"/>
          <w:b/>
          <w:sz w:val="20"/>
          <w:szCs w:val="20"/>
        </w:rPr>
        <w:t xml:space="preserve"> oral (</w:t>
      </w:r>
      <w:r w:rsidRPr="00CE3260">
        <w:rPr>
          <w:rFonts w:cs="Arial"/>
          <w:b/>
          <w:sz w:val="20"/>
          <w:szCs w:val="20"/>
        </w:rPr>
        <w:t>v/o</w:t>
      </w:r>
      <w:r w:rsidR="00845556">
        <w:rPr>
          <w:rFonts w:cs="Arial"/>
          <w:b/>
          <w:sz w:val="20"/>
          <w:szCs w:val="20"/>
        </w:rPr>
        <w:t>)</w:t>
      </w:r>
      <w:r w:rsidRPr="00CE3260">
        <w:rPr>
          <w:rFonts w:cs="Arial"/>
          <w:b/>
          <w:sz w:val="20"/>
          <w:szCs w:val="20"/>
        </w:rPr>
        <w:t xml:space="preserve">. </w:t>
      </w:r>
      <w:r w:rsidRPr="00CE3260">
        <w:rPr>
          <w:rFonts w:cs="Arial"/>
          <w:sz w:val="20"/>
          <w:szCs w:val="20"/>
        </w:rPr>
        <w:t xml:space="preserve"> </w:t>
      </w:r>
    </w:p>
    <w:p w:rsidR="00E81B3D" w:rsidRPr="00CE3260" w:rsidRDefault="00E81B3D" w:rsidP="00A45F61">
      <w:pPr>
        <w:numPr>
          <w:ilvl w:val="0"/>
          <w:numId w:val="3"/>
        </w:numPr>
        <w:spacing w:before="120" w:after="120"/>
        <w:ind w:left="1560" w:hanging="284"/>
        <w:rPr>
          <w:rFonts w:cs="Arial"/>
          <w:sz w:val="20"/>
          <w:szCs w:val="20"/>
        </w:rPr>
      </w:pPr>
      <w:r w:rsidRPr="00CE3260">
        <w:rPr>
          <w:rFonts w:cs="Arial"/>
          <w:sz w:val="20"/>
          <w:szCs w:val="20"/>
        </w:rPr>
        <w:t>Adultos:200mg/día</w:t>
      </w:r>
    </w:p>
    <w:p w:rsidR="00E81B3D" w:rsidRDefault="00E81B3D" w:rsidP="00983561">
      <w:pPr>
        <w:numPr>
          <w:ilvl w:val="0"/>
          <w:numId w:val="3"/>
        </w:numPr>
        <w:spacing w:before="120" w:after="120"/>
        <w:ind w:left="1560" w:hanging="284"/>
        <w:rPr>
          <w:rFonts w:cs="Arial"/>
          <w:sz w:val="20"/>
          <w:szCs w:val="20"/>
        </w:rPr>
      </w:pPr>
      <w:r w:rsidRPr="006E7715">
        <w:rPr>
          <w:rFonts w:cs="Arial"/>
          <w:sz w:val="20"/>
          <w:szCs w:val="20"/>
        </w:rPr>
        <w:t>Niños:2-3 mg/Kg/día</w:t>
      </w:r>
    </w:p>
    <w:p w:rsidR="00E81B3D" w:rsidRPr="00C352B1" w:rsidRDefault="00E81B3D" w:rsidP="00983561">
      <w:pPr>
        <w:spacing w:before="120" w:after="120"/>
        <w:ind w:left="1276"/>
        <w:rPr>
          <w:rFonts w:cs="Arial"/>
          <w:sz w:val="20"/>
          <w:szCs w:val="20"/>
        </w:rPr>
      </w:pPr>
      <w:r w:rsidRPr="00C352B1">
        <w:rPr>
          <w:rFonts w:cs="Arial"/>
          <w:sz w:val="20"/>
          <w:szCs w:val="20"/>
        </w:rPr>
        <w:t>En adultos pre-diálisis, en diálisis domiciliaria y Diálisis Peritoneal (DP) que no logran adecuadas reservas férricas con Fe v/o, se administra una infusión de 500-1000mg de hierro dextrano o carboximaltosa i/v, repitiéndose las veces que sea necesario según parámetros férricos.</w:t>
      </w:r>
    </w:p>
    <w:p w:rsidR="00E81B3D" w:rsidRDefault="00E81B3D" w:rsidP="00983561">
      <w:pPr>
        <w:spacing w:before="120" w:after="120"/>
        <w:ind w:left="1276"/>
        <w:rPr>
          <w:rFonts w:cs="Arial"/>
          <w:sz w:val="20"/>
          <w:szCs w:val="20"/>
        </w:rPr>
      </w:pPr>
      <w:r w:rsidRPr="00C352B1">
        <w:rPr>
          <w:rFonts w:cs="Arial"/>
          <w:sz w:val="20"/>
          <w:szCs w:val="20"/>
        </w:rPr>
        <w:t>En pacientes en Hemodiálisis se considera improbable que alcancen el objetivo con Fe v/o, por lo que requerirán aporte de Fe  i/v.</w:t>
      </w:r>
    </w:p>
    <w:p w:rsidR="00E81B3D" w:rsidRPr="00DA3051" w:rsidRDefault="00E81B3D" w:rsidP="00983561">
      <w:pPr>
        <w:spacing w:before="120" w:after="120"/>
        <w:ind w:left="1276"/>
        <w:rPr>
          <w:rFonts w:cs="Arial"/>
          <w:b/>
          <w:sz w:val="20"/>
          <w:szCs w:val="20"/>
        </w:rPr>
      </w:pPr>
      <w:r>
        <w:rPr>
          <w:rFonts w:cs="Arial"/>
          <w:b/>
          <w:sz w:val="20"/>
          <w:szCs w:val="20"/>
        </w:rPr>
        <w:t>Estimación del déficit de Fe</w:t>
      </w:r>
    </w:p>
    <w:p w:rsidR="00E81B3D" w:rsidRPr="009A7C55" w:rsidRDefault="00E81B3D" w:rsidP="009A7C55">
      <w:pPr>
        <w:spacing w:before="120" w:after="120"/>
        <w:ind w:left="1276"/>
        <w:rPr>
          <w:rFonts w:cs="Arial"/>
          <w:sz w:val="20"/>
          <w:szCs w:val="20"/>
        </w:rPr>
      </w:pPr>
      <w:r w:rsidRPr="009A7C55">
        <w:rPr>
          <w:rFonts w:cs="Arial"/>
          <w:sz w:val="20"/>
          <w:szCs w:val="20"/>
        </w:rPr>
        <w:t xml:space="preserve">ABSOLUTO: </w:t>
      </w:r>
      <w:r w:rsidR="00651852" w:rsidRPr="009A7C55">
        <w:rPr>
          <w:rFonts w:cs="Arial"/>
          <w:sz w:val="20"/>
          <w:szCs w:val="20"/>
        </w:rPr>
        <w:t>Depleción</w:t>
      </w:r>
      <w:r w:rsidRPr="009A7C55">
        <w:rPr>
          <w:rFonts w:cs="Arial"/>
          <w:sz w:val="20"/>
          <w:szCs w:val="20"/>
        </w:rPr>
        <w:t xml:space="preserve"> de reservas férricas.</w:t>
      </w:r>
    </w:p>
    <w:p w:rsidR="00E81B3D" w:rsidRPr="009A7C55" w:rsidRDefault="00E81B3D" w:rsidP="009A7C55">
      <w:pPr>
        <w:spacing w:before="120" w:after="120"/>
        <w:ind w:left="1276"/>
        <w:rPr>
          <w:rFonts w:cs="Arial"/>
          <w:sz w:val="20"/>
          <w:szCs w:val="20"/>
        </w:rPr>
      </w:pPr>
      <w:r w:rsidRPr="009A7C55">
        <w:rPr>
          <w:rFonts w:cs="Arial"/>
          <w:sz w:val="20"/>
          <w:szCs w:val="20"/>
        </w:rPr>
        <w:tab/>
      </w:r>
      <w:r w:rsidRPr="009A7C55">
        <w:rPr>
          <w:rFonts w:cs="Arial"/>
          <w:sz w:val="20"/>
          <w:szCs w:val="20"/>
        </w:rPr>
        <w:tab/>
      </w:r>
      <w:r w:rsidRPr="009A7C55">
        <w:rPr>
          <w:rFonts w:cs="Arial"/>
          <w:sz w:val="20"/>
          <w:szCs w:val="20"/>
        </w:rPr>
        <w:tab/>
        <w:t>Concentración sérica de ferritina &lt; 100ng/ml.</w:t>
      </w:r>
    </w:p>
    <w:p w:rsidR="00E81B3D" w:rsidRPr="009A7C55" w:rsidRDefault="00E81B3D" w:rsidP="009A7C55">
      <w:pPr>
        <w:spacing w:before="120" w:after="120"/>
        <w:ind w:left="1276"/>
        <w:rPr>
          <w:rFonts w:cs="Arial"/>
          <w:sz w:val="20"/>
          <w:szCs w:val="20"/>
        </w:rPr>
      </w:pPr>
      <w:r w:rsidRPr="009A7C55">
        <w:rPr>
          <w:rFonts w:cs="Arial"/>
          <w:sz w:val="20"/>
          <w:szCs w:val="20"/>
        </w:rPr>
        <w:tab/>
      </w:r>
      <w:r w:rsidRPr="009A7C55">
        <w:rPr>
          <w:rFonts w:cs="Arial"/>
          <w:sz w:val="20"/>
          <w:szCs w:val="20"/>
        </w:rPr>
        <w:tab/>
      </w:r>
      <w:r w:rsidRPr="009A7C55">
        <w:rPr>
          <w:rFonts w:cs="Arial"/>
          <w:sz w:val="20"/>
          <w:szCs w:val="20"/>
        </w:rPr>
        <w:tab/>
        <w:t>ISAT &lt;20%.</w:t>
      </w:r>
    </w:p>
    <w:p w:rsidR="00E81B3D" w:rsidRPr="00863413" w:rsidRDefault="00E81B3D" w:rsidP="009A7C55">
      <w:pPr>
        <w:spacing w:before="120" w:after="120"/>
        <w:ind w:left="1276"/>
        <w:rPr>
          <w:rFonts w:cs="Arial"/>
          <w:sz w:val="20"/>
          <w:szCs w:val="20"/>
        </w:rPr>
      </w:pPr>
      <w:r w:rsidRPr="009A7C55">
        <w:rPr>
          <w:rFonts w:cs="Arial"/>
          <w:sz w:val="20"/>
          <w:szCs w:val="20"/>
        </w:rPr>
        <w:t xml:space="preserve">FUNCIONAL: Se necesita más hierro para la eritropoyesis que lo que el Sistema Retículo Endotelial (SER) puede </w:t>
      </w:r>
      <w:r w:rsidRPr="00863413">
        <w:rPr>
          <w:rFonts w:cs="Arial"/>
          <w:sz w:val="20"/>
          <w:szCs w:val="20"/>
        </w:rPr>
        <w:t>liberar.</w:t>
      </w:r>
    </w:p>
    <w:p w:rsidR="00E81B3D" w:rsidRPr="00863413" w:rsidRDefault="00E81B3D" w:rsidP="009A7C55">
      <w:pPr>
        <w:spacing w:before="120" w:after="120"/>
        <w:ind w:left="1276"/>
        <w:rPr>
          <w:rFonts w:cs="Arial"/>
          <w:sz w:val="20"/>
          <w:szCs w:val="20"/>
        </w:rPr>
      </w:pPr>
      <w:r w:rsidRPr="00863413">
        <w:rPr>
          <w:rFonts w:cs="Arial"/>
          <w:sz w:val="20"/>
          <w:szCs w:val="20"/>
        </w:rPr>
        <w:tab/>
      </w:r>
      <w:r w:rsidRPr="00863413">
        <w:rPr>
          <w:rFonts w:cs="Arial"/>
          <w:sz w:val="20"/>
          <w:szCs w:val="20"/>
        </w:rPr>
        <w:tab/>
      </w:r>
      <w:r w:rsidRPr="00863413">
        <w:rPr>
          <w:rFonts w:cs="Arial"/>
          <w:sz w:val="20"/>
          <w:szCs w:val="20"/>
        </w:rPr>
        <w:tab/>
        <w:t>Concentración sérica de ferritina: normal o elevada.</w:t>
      </w:r>
    </w:p>
    <w:p w:rsidR="00E81B3D" w:rsidRPr="00863413" w:rsidRDefault="00E81B3D" w:rsidP="009A7C55">
      <w:pPr>
        <w:spacing w:before="120" w:after="120"/>
        <w:ind w:left="1276"/>
        <w:rPr>
          <w:rFonts w:cs="Arial"/>
          <w:sz w:val="20"/>
          <w:szCs w:val="20"/>
        </w:rPr>
      </w:pPr>
      <w:r w:rsidRPr="00863413">
        <w:rPr>
          <w:rFonts w:cs="Arial"/>
          <w:sz w:val="20"/>
          <w:szCs w:val="20"/>
        </w:rPr>
        <w:tab/>
      </w:r>
      <w:r w:rsidRPr="00863413">
        <w:rPr>
          <w:rFonts w:cs="Arial"/>
          <w:sz w:val="20"/>
          <w:szCs w:val="20"/>
        </w:rPr>
        <w:tab/>
      </w:r>
      <w:r w:rsidRPr="00863413">
        <w:rPr>
          <w:rFonts w:cs="Arial"/>
          <w:sz w:val="20"/>
          <w:szCs w:val="20"/>
        </w:rPr>
        <w:tab/>
        <w:t>ISAT: baja.</w:t>
      </w:r>
    </w:p>
    <w:p w:rsidR="00E81B3D" w:rsidRPr="00863413" w:rsidRDefault="00E81B3D" w:rsidP="00A45F61">
      <w:pPr>
        <w:spacing w:before="120" w:after="120"/>
        <w:ind w:left="1276"/>
        <w:rPr>
          <w:rFonts w:cs="Arial"/>
          <w:sz w:val="20"/>
          <w:szCs w:val="20"/>
        </w:rPr>
      </w:pPr>
      <w:r w:rsidRPr="00863413">
        <w:rPr>
          <w:rFonts w:cs="Arial"/>
          <w:sz w:val="20"/>
          <w:szCs w:val="20"/>
        </w:rPr>
        <w:t>En los pacientes con ISAT ≥ 50%, y/o ferritina ≥ 800 ng/ml se aconseja suspender por 3 meses el aporte de Fe iv, reinstalándolo luego de este tiempo si los parámetros férricos descendieron, a la mitad o un tercio de la dosis.</w:t>
      </w:r>
    </w:p>
    <w:p w:rsidR="00E81B3D" w:rsidRPr="00C352B1" w:rsidRDefault="00E81B3D" w:rsidP="00A45F61">
      <w:pPr>
        <w:spacing w:before="120" w:after="120"/>
        <w:ind w:left="1276"/>
        <w:rPr>
          <w:rFonts w:cs="Arial"/>
          <w:sz w:val="20"/>
          <w:szCs w:val="20"/>
        </w:rPr>
      </w:pPr>
      <w:r w:rsidRPr="00C352B1">
        <w:rPr>
          <w:rFonts w:cs="Arial"/>
          <w:sz w:val="20"/>
          <w:szCs w:val="20"/>
        </w:rPr>
        <w:t>El Fe v/o no está indicado en pacientes que reciben Fe i/v.</w:t>
      </w:r>
    </w:p>
    <w:p w:rsidR="00E81B3D" w:rsidRPr="00C352B1" w:rsidRDefault="00E81B3D" w:rsidP="00983561">
      <w:pPr>
        <w:spacing w:before="120" w:after="120"/>
        <w:ind w:left="1276"/>
        <w:rPr>
          <w:rFonts w:cs="Arial"/>
          <w:sz w:val="20"/>
          <w:szCs w:val="20"/>
        </w:rPr>
      </w:pPr>
      <w:r w:rsidRPr="00C352B1">
        <w:rPr>
          <w:rFonts w:cs="Arial"/>
          <w:sz w:val="20"/>
          <w:szCs w:val="20"/>
        </w:rPr>
        <w:t>Hb objetivo durante el tratamiento con AEE:</w:t>
      </w:r>
    </w:p>
    <w:p w:rsidR="00E81B3D" w:rsidRPr="00C352B1" w:rsidRDefault="00E81B3D" w:rsidP="00983561">
      <w:pPr>
        <w:spacing w:before="120" w:after="120"/>
        <w:ind w:left="1276"/>
        <w:rPr>
          <w:rFonts w:cs="Arial"/>
          <w:sz w:val="20"/>
          <w:szCs w:val="20"/>
        </w:rPr>
      </w:pPr>
      <w:r w:rsidRPr="00C352B1">
        <w:rPr>
          <w:rFonts w:cs="Arial"/>
          <w:sz w:val="20"/>
          <w:szCs w:val="20"/>
        </w:rPr>
        <w:t>Hb: 10-12g/dl</w:t>
      </w:r>
    </w:p>
    <w:p w:rsidR="00E81B3D" w:rsidRPr="00C352B1" w:rsidRDefault="00E81B3D" w:rsidP="00983561">
      <w:pPr>
        <w:spacing w:before="120" w:after="120"/>
        <w:ind w:left="1276"/>
        <w:rPr>
          <w:rFonts w:cs="Arial"/>
          <w:b/>
          <w:sz w:val="20"/>
          <w:szCs w:val="20"/>
        </w:rPr>
      </w:pPr>
      <w:r w:rsidRPr="00C352B1">
        <w:rPr>
          <w:rFonts w:cs="Arial"/>
          <w:b/>
          <w:sz w:val="20"/>
          <w:szCs w:val="20"/>
        </w:rPr>
        <w:t>Indicaciones de tratamiento con Fe (una vez descartadas otras causas de ferropenia):</w:t>
      </w:r>
    </w:p>
    <w:p w:rsidR="00E81B3D" w:rsidRPr="00C352B1" w:rsidRDefault="00E81B3D" w:rsidP="00983561">
      <w:pPr>
        <w:spacing w:before="120" w:after="120"/>
        <w:ind w:left="1276"/>
        <w:rPr>
          <w:rFonts w:cs="Arial"/>
          <w:sz w:val="20"/>
          <w:szCs w:val="20"/>
          <w:lang w:val="it-IT"/>
        </w:rPr>
      </w:pPr>
      <w:r w:rsidRPr="00C352B1">
        <w:rPr>
          <w:rFonts w:cs="Arial"/>
          <w:sz w:val="20"/>
          <w:szCs w:val="20"/>
          <w:lang w:val="it-IT"/>
        </w:rPr>
        <w:t>Fe v.o: con ferritina &lt; 100  ng/ml</w:t>
      </w:r>
    </w:p>
    <w:p w:rsidR="00E81B3D" w:rsidRPr="00C352B1" w:rsidRDefault="00E81B3D" w:rsidP="00983561">
      <w:pPr>
        <w:spacing w:before="120" w:after="120"/>
        <w:ind w:left="1276"/>
        <w:rPr>
          <w:rFonts w:cs="Arial"/>
          <w:sz w:val="20"/>
          <w:szCs w:val="20"/>
          <w:lang w:val="it-IT"/>
        </w:rPr>
      </w:pPr>
      <w:r>
        <w:rPr>
          <w:rFonts w:cs="Arial"/>
          <w:sz w:val="20"/>
          <w:szCs w:val="20"/>
          <w:lang w:val="it-IT"/>
        </w:rPr>
        <w:t>Fe i.v.: si f</w:t>
      </w:r>
      <w:r w:rsidRPr="00C352B1">
        <w:rPr>
          <w:rFonts w:cs="Arial"/>
          <w:sz w:val="20"/>
          <w:szCs w:val="20"/>
          <w:lang w:val="it-IT"/>
        </w:rPr>
        <w:t>erritina &lt; 100 ng/ml e intolerancia a Fe v.o., - cuando la Hb &lt; 11 g/dl-.</w:t>
      </w:r>
    </w:p>
    <w:p w:rsidR="00E81B3D" w:rsidRPr="00C352B1" w:rsidRDefault="00E81B3D" w:rsidP="00983561">
      <w:pPr>
        <w:spacing w:before="120" w:after="120"/>
        <w:ind w:left="1276"/>
        <w:rPr>
          <w:rFonts w:cs="Arial"/>
          <w:b/>
          <w:sz w:val="20"/>
          <w:szCs w:val="20"/>
        </w:rPr>
      </w:pPr>
      <w:r w:rsidRPr="00C352B1">
        <w:rPr>
          <w:rFonts w:cs="Arial"/>
          <w:b/>
          <w:sz w:val="20"/>
          <w:szCs w:val="20"/>
        </w:rPr>
        <w:t>Indicaciones de tratamiento con AEE (EPO):</w:t>
      </w:r>
    </w:p>
    <w:p w:rsidR="00E81B3D" w:rsidRDefault="00E81B3D" w:rsidP="00983561">
      <w:pPr>
        <w:spacing w:before="120" w:after="120"/>
        <w:ind w:left="1276"/>
        <w:rPr>
          <w:rFonts w:cs="Arial"/>
          <w:sz w:val="20"/>
          <w:szCs w:val="20"/>
        </w:rPr>
      </w:pPr>
      <w:r w:rsidRPr="00C352B1">
        <w:rPr>
          <w:rFonts w:cs="Arial"/>
          <w:sz w:val="20"/>
          <w:szCs w:val="20"/>
        </w:rPr>
        <w:t xml:space="preserve">Si una vez </w:t>
      </w:r>
      <w:r w:rsidRPr="00743D35">
        <w:rPr>
          <w:rFonts w:cs="Arial"/>
          <w:sz w:val="20"/>
          <w:szCs w:val="20"/>
        </w:rPr>
        <w:t xml:space="preserve">normalizada la ferritina, ≥ 100 ng/ml-,  la Hb es &lt; 11 g/dl, -en el  paciente no diabético-, o inferior a 10 g/dl en el paciente con DM-.En el caso del paciente con DM  y antecedente de episodio de AVC, debe de valorarse cuidadosamente el riesgo.-beneficio de iniciar el AEE. Se </w:t>
      </w:r>
      <w:r>
        <w:rPr>
          <w:rFonts w:cs="Arial"/>
          <w:sz w:val="20"/>
          <w:szCs w:val="20"/>
        </w:rPr>
        <w:t>a</w:t>
      </w:r>
      <w:r w:rsidRPr="00743D35">
        <w:rPr>
          <w:rFonts w:cs="Arial"/>
          <w:sz w:val="20"/>
          <w:szCs w:val="20"/>
        </w:rPr>
        <w:t xml:space="preserve">conseja individualizar la indicación y tratar puntualmente hasta obtener Hb ≥ 10 gr/dl y entonces suspender </w:t>
      </w:r>
      <w:r w:rsidRPr="00FD69EE">
        <w:rPr>
          <w:rFonts w:cs="Arial"/>
          <w:sz w:val="20"/>
          <w:szCs w:val="20"/>
        </w:rPr>
        <w:t>el tratamiento con el  AEE y vigilar  estrictamente la cifra de Hb. La Guías KDIGO 2012 recomiendan no administrar ESAs con Hb &gt; 11,5 g/dl en adultos con ERC, pero puede ser necesario mantener Hb &gt; 11,5 g/dl para mejorar la calidad de vida del paciente. En ese caso recomiendan ”estar preparados para aceptar los riesgos”</w:t>
      </w:r>
      <w:r>
        <w:rPr>
          <w:rStyle w:val="Refdenotaalfinal"/>
          <w:sz w:val="20"/>
          <w:szCs w:val="20"/>
        </w:rPr>
        <w:endnoteReference w:id="157"/>
      </w:r>
      <w:r w:rsidRPr="00FD69EE">
        <w:rPr>
          <w:rFonts w:cs="Arial"/>
          <w:sz w:val="20"/>
          <w:szCs w:val="20"/>
        </w:rPr>
        <w:t xml:space="preserve">. </w:t>
      </w:r>
    </w:p>
    <w:p w:rsidR="00E81B3D" w:rsidRPr="00743D35" w:rsidRDefault="00E81B3D" w:rsidP="00633C54">
      <w:pPr>
        <w:spacing w:before="120" w:after="120"/>
        <w:rPr>
          <w:rFonts w:cs="Arial"/>
          <w:sz w:val="20"/>
          <w:szCs w:val="20"/>
        </w:rPr>
      </w:pPr>
    </w:p>
    <w:p w:rsidR="00E81B3D" w:rsidRPr="00DA3051" w:rsidRDefault="00E81B3D" w:rsidP="00983561">
      <w:pPr>
        <w:numPr>
          <w:ilvl w:val="0"/>
          <w:numId w:val="2"/>
        </w:numPr>
        <w:spacing w:before="120" w:after="120"/>
        <w:ind w:left="1276" w:hanging="283"/>
        <w:rPr>
          <w:rFonts w:cs="Arial"/>
          <w:b/>
          <w:sz w:val="20"/>
          <w:szCs w:val="20"/>
        </w:rPr>
      </w:pPr>
      <w:r w:rsidRPr="006E7715">
        <w:rPr>
          <w:rFonts w:cs="Arial"/>
          <w:b/>
          <w:sz w:val="20"/>
          <w:szCs w:val="20"/>
        </w:rPr>
        <w:t>Vía de administración de la r-Hu-EPO</w:t>
      </w:r>
    </w:p>
    <w:p w:rsidR="00E81B3D" w:rsidRPr="00C352B1" w:rsidRDefault="00E81B3D" w:rsidP="00983561">
      <w:pPr>
        <w:spacing w:before="120" w:after="120"/>
        <w:ind w:left="1276"/>
        <w:rPr>
          <w:rFonts w:cs="Arial"/>
          <w:sz w:val="20"/>
          <w:szCs w:val="20"/>
        </w:rPr>
      </w:pPr>
      <w:r w:rsidRPr="00C352B1">
        <w:rPr>
          <w:rFonts w:cs="Arial"/>
          <w:sz w:val="20"/>
          <w:szCs w:val="20"/>
        </w:rPr>
        <w:t>Se indica la vía subcutánea en pacientes en HD, DP, y en Diálisis Domiciliaria, rotando el sitio de inyección.</w:t>
      </w:r>
    </w:p>
    <w:p w:rsidR="00E81B3D" w:rsidRPr="00C352B1" w:rsidRDefault="00E81B3D" w:rsidP="00983561">
      <w:pPr>
        <w:spacing w:before="120" w:after="120"/>
        <w:ind w:left="1276"/>
        <w:rPr>
          <w:rFonts w:cs="Arial"/>
          <w:sz w:val="20"/>
          <w:szCs w:val="20"/>
        </w:rPr>
      </w:pPr>
      <w:r w:rsidRPr="00C352B1">
        <w:rPr>
          <w:rFonts w:cs="Arial"/>
          <w:sz w:val="20"/>
          <w:szCs w:val="20"/>
        </w:rPr>
        <w:t>La vía intraperitoneal sería posible, administrando la dosis en abdomen vacío o con escasa cantidad de líquido peritoneal, podrían requerirse dosis mayores por esta vía.</w:t>
      </w:r>
    </w:p>
    <w:p w:rsidR="00E81B3D" w:rsidRPr="00C352B1" w:rsidRDefault="00E81B3D" w:rsidP="00983561">
      <w:pPr>
        <w:spacing w:before="120" w:after="120"/>
        <w:ind w:left="1276"/>
        <w:rPr>
          <w:rFonts w:cs="Arial"/>
          <w:sz w:val="20"/>
          <w:szCs w:val="20"/>
        </w:rPr>
      </w:pPr>
      <w:r w:rsidRPr="00C352B1">
        <w:rPr>
          <w:rFonts w:cs="Arial"/>
          <w:sz w:val="20"/>
          <w:szCs w:val="20"/>
        </w:rPr>
        <w:t>La vía iv estaría indicada en caso de elevadas dosis (volumen),o equimosis recurrentes en sitio de inyección.</w:t>
      </w:r>
    </w:p>
    <w:p w:rsidR="00E81B3D" w:rsidRPr="00C352B1" w:rsidRDefault="00E81B3D" w:rsidP="00983561">
      <w:pPr>
        <w:spacing w:before="120" w:after="120"/>
        <w:ind w:left="1276"/>
        <w:rPr>
          <w:rFonts w:cs="Arial"/>
          <w:sz w:val="20"/>
          <w:szCs w:val="20"/>
        </w:rPr>
      </w:pPr>
      <w:r w:rsidRPr="00C352B1">
        <w:rPr>
          <w:rFonts w:cs="Arial"/>
          <w:b/>
          <w:sz w:val="20"/>
          <w:szCs w:val="20"/>
        </w:rPr>
        <w:t>Dosis de EPO:</w:t>
      </w:r>
      <w:r w:rsidRPr="00C352B1">
        <w:rPr>
          <w:rFonts w:cs="Arial"/>
          <w:sz w:val="20"/>
          <w:szCs w:val="20"/>
        </w:rPr>
        <w:t xml:space="preserve"> se pauta por los servicios de Nefrología.</w:t>
      </w:r>
    </w:p>
    <w:p w:rsidR="00E81B3D" w:rsidRPr="00C352B1" w:rsidRDefault="00E81B3D" w:rsidP="00983561">
      <w:pPr>
        <w:numPr>
          <w:ilvl w:val="0"/>
          <w:numId w:val="2"/>
        </w:numPr>
        <w:spacing w:before="120" w:after="120"/>
        <w:ind w:left="1276" w:hanging="283"/>
        <w:rPr>
          <w:rFonts w:cs="Arial"/>
          <w:b/>
          <w:sz w:val="20"/>
          <w:szCs w:val="20"/>
        </w:rPr>
      </w:pPr>
      <w:r w:rsidRPr="00C352B1">
        <w:rPr>
          <w:rFonts w:cs="Arial"/>
          <w:b/>
          <w:sz w:val="20"/>
          <w:szCs w:val="20"/>
        </w:rPr>
        <w:t>Controles durante el tratamiento con AEE</w:t>
      </w:r>
    </w:p>
    <w:p w:rsidR="00E81B3D" w:rsidRPr="00C352B1" w:rsidRDefault="00E81B3D" w:rsidP="00983561">
      <w:pPr>
        <w:spacing w:before="120" w:after="120"/>
        <w:ind w:left="1276"/>
        <w:rPr>
          <w:rFonts w:cs="Arial"/>
          <w:sz w:val="20"/>
          <w:szCs w:val="20"/>
        </w:rPr>
      </w:pPr>
      <w:r w:rsidRPr="00C352B1">
        <w:rPr>
          <w:rFonts w:cs="Arial"/>
          <w:sz w:val="20"/>
          <w:szCs w:val="20"/>
        </w:rPr>
        <w:t>El control es con</w:t>
      </w:r>
      <w:r>
        <w:rPr>
          <w:rFonts w:cs="Arial"/>
          <w:sz w:val="20"/>
          <w:szCs w:val="20"/>
        </w:rPr>
        <w:t xml:space="preserve"> </w:t>
      </w:r>
      <w:r w:rsidRPr="00C352B1">
        <w:rPr>
          <w:rFonts w:cs="Arial"/>
          <w:sz w:val="20"/>
          <w:szCs w:val="20"/>
        </w:rPr>
        <w:t>Hb semanal hasta lograr el</w:t>
      </w:r>
      <w:r>
        <w:rPr>
          <w:rFonts w:cs="Arial"/>
          <w:sz w:val="20"/>
          <w:szCs w:val="20"/>
        </w:rPr>
        <w:t xml:space="preserve"> </w:t>
      </w:r>
      <w:r w:rsidRPr="00C352B1">
        <w:rPr>
          <w:rFonts w:cs="Arial"/>
          <w:sz w:val="20"/>
          <w:szCs w:val="20"/>
        </w:rPr>
        <w:t>Hb objetivo o durante los aumentos de dosis, una vez alcanzado este, el control será mensual.</w:t>
      </w:r>
    </w:p>
    <w:p w:rsidR="00E81B3D" w:rsidRDefault="00E81B3D" w:rsidP="00983561">
      <w:pPr>
        <w:spacing w:before="120" w:after="120"/>
        <w:ind w:left="1276"/>
        <w:rPr>
          <w:rFonts w:cs="Arial"/>
          <w:sz w:val="20"/>
          <w:szCs w:val="20"/>
        </w:rPr>
      </w:pPr>
      <w:r w:rsidRPr="006E7715">
        <w:rPr>
          <w:rFonts w:cs="Arial"/>
          <w:b/>
          <w:sz w:val="20"/>
          <w:szCs w:val="20"/>
        </w:rPr>
        <w:t>Ajuste de dosis de EPO</w:t>
      </w:r>
      <w:r>
        <w:rPr>
          <w:rFonts w:cs="Arial"/>
          <w:b/>
          <w:sz w:val="20"/>
          <w:szCs w:val="20"/>
        </w:rPr>
        <w:t>:</w:t>
      </w:r>
      <w:r w:rsidRPr="006E7715">
        <w:rPr>
          <w:rFonts w:cs="Arial"/>
          <w:sz w:val="20"/>
          <w:szCs w:val="20"/>
        </w:rPr>
        <w:t xml:space="preserve"> </w:t>
      </w:r>
      <w:r>
        <w:rPr>
          <w:rFonts w:cs="Arial"/>
          <w:sz w:val="20"/>
          <w:szCs w:val="20"/>
        </w:rPr>
        <w:t>a</w:t>
      </w:r>
      <w:r w:rsidRPr="006E7715">
        <w:rPr>
          <w:rFonts w:cs="Arial"/>
          <w:sz w:val="20"/>
          <w:szCs w:val="20"/>
        </w:rPr>
        <w:t xml:space="preserve"> cargo del nefrólogo.</w:t>
      </w:r>
    </w:p>
    <w:p w:rsidR="00E81B3D" w:rsidRPr="00DA3051" w:rsidRDefault="00E81B3D" w:rsidP="00983561">
      <w:pPr>
        <w:numPr>
          <w:ilvl w:val="0"/>
          <w:numId w:val="2"/>
        </w:numPr>
        <w:spacing w:before="120" w:after="120"/>
        <w:ind w:left="1276" w:hanging="283"/>
        <w:rPr>
          <w:rFonts w:cs="Arial"/>
          <w:b/>
          <w:sz w:val="20"/>
          <w:szCs w:val="20"/>
        </w:rPr>
      </w:pPr>
      <w:r w:rsidRPr="007112D2">
        <w:rPr>
          <w:rFonts w:cs="Arial"/>
          <w:b/>
          <w:sz w:val="20"/>
          <w:szCs w:val="20"/>
        </w:rPr>
        <w:t>Dosis de EPO durante</w:t>
      </w:r>
      <w:r>
        <w:rPr>
          <w:rFonts w:cs="Arial"/>
          <w:b/>
          <w:sz w:val="20"/>
          <w:szCs w:val="20"/>
        </w:rPr>
        <w:t xml:space="preserve"> enfermedades intercurrentes o c</w:t>
      </w:r>
      <w:r w:rsidRPr="007112D2">
        <w:rPr>
          <w:rFonts w:cs="Arial"/>
          <w:b/>
          <w:sz w:val="20"/>
          <w:szCs w:val="20"/>
        </w:rPr>
        <w:t>irugía</w:t>
      </w:r>
    </w:p>
    <w:p w:rsidR="00E81B3D" w:rsidRPr="006E7715" w:rsidRDefault="00E81B3D" w:rsidP="00983561">
      <w:pPr>
        <w:spacing w:before="120" w:after="120"/>
        <w:ind w:left="1276"/>
        <w:rPr>
          <w:rFonts w:cs="Arial"/>
          <w:sz w:val="20"/>
          <w:szCs w:val="20"/>
        </w:rPr>
      </w:pPr>
      <w:r w:rsidRPr="007112D2">
        <w:rPr>
          <w:rFonts w:cs="Arial"/>
          <w:sz w:val="20"/>
          <w:szCs w:val="20"/>
        </w:rPr>
        <w:t>Se considera que debe mantenerse o incrementarse la dosis de manera de mantener una eritropoyesis normal.</w:t>
      </w:r>
    </w:p>
    <w:p w:rsidR="00E81B3D" w:rsidRPr="00DA3051" w:rsidRDefault="00E81B3D" w:rsidP="00983561">
      <w:pPr>
        <w:numPr>
          <w:ilvl w:val="0"/>
          <w:numId w:val="2"/>
        </w:numPr>
        <w:spacing w:before="120" w:after="120"/>
        <w:ind w:left="1276" w:hanging="283"/>
        <w:rPr>
          <w:rFonts w:cs="Arial"/>
          <w:b/>
          <w:sz w:val="20"/>
          <w:szCs w:val="20"/>
        </w:rPr>
      </w:pPr>
      <w:r w:rsidRPr="007112D2">
        <w:rPr>
          <w:rFonts w:cs="Arial"/>
          <w:b/>
          <w:sz w:val="20"/>
          <w:szCs w:val="20"/>
        </w:rPr>
        <w:t>Respuesta inadecuada a la EPO</w:t>
      </w:r>
    </w:p>
    <w:p w:rsidR="00E81B3D" w:rsidRPr="006E7715" w:rsidRDefault="00E81B3D" w:rsidP="00983561">
      <w:pPr>
        <w:spacing w:before="120" w:after="120"/>
        <w:ind w:left="1276"/>
        <w:rPr>
          <w:rFonts w:cs="Arial"/>
          <w:sz w:val="20"/>
          <w:szCs w:val="20"/>
        </w:rPr>
      </w:pPr>
      <w:r w:rsidRPr="007112D2">
        <w:rPr>
          <w:rFonts w:cs="Arial"/>
          <w:sz w:val="20"/>
          <w:szCs w:val="20"/>
        </w:rPr>
        <w:t>Cuando existe Incapacidad de lograr la Hb objetivo en presencia de adecuadas reservas férricas, con dosis de 300 u/k</w:t>
      </w:r>
      <w:r>
        <w:rPr>
          <w:rFonts w:cs="Arial"/>
          <w:sz w:val="20"/>
          <w:szCs w:val="20"/>
        </w:rPr>
        <w:t>g</w:t>
      </w:r>
      <w:r w:rsidRPr="007112D2">
        <w:rPr>
          <w:rFonts w:cs="Arial"/>
          <w:sz w:val="20"/>
          <w:szCs w:val="20"/>
        </w:rPr>
        <w:t>/sem en 4-6 meses, o de mantenerlo a estas dosis.</w:t>
      </w:r>
    </w:p>
    <w:p w:rsidR="00E81B3D" w:rsidRPr="00DA3051" w:rsidRDefault="00E81B3D" w:rsidP="00983561">
      <w:pPr>
        <w:numPr>
          <w:ilvl w:val="0"/>
          <w:numId w:val="2"/>
        </w:numPr>
        <w:spacing w:before="120" w:after="120"/>
        <w:ind w:left="1276" w:hanging="283"/>
        <w:rPr>
          <w:rFonts w:cs="Arial"/>
          <w:b/>
          <w:sz w:val="20"/>
          <w:szCs w:val="20"/>
        </w:rPr>
      </w:pPr>
      <w:r w:rsidRPr="007112D2">
        <w:rPr>
          <w:rFonts w:cs="Arial"/>
          <w:b/>
          <w:sz w:val="20"/>
          <w:szCs w:val="20"/>
        </w:rPr>
        <w:t>Causas de resistencia a la EPO</w:t>
      </w:r>
    </w:p>
    <w:p w:rsidR="00E81B3D" w:rsidRDefault="00E81B3D" w:rsidP="00983561">
      <w:pPr>
        <w:spacing w:before="120" w:after="120"/>
        <w:ind w:left="1276"/>
        <w:rPr>
          <w:rFonts w:cs="Arial"/>
          <w:sz w:val="20"/>
          <w:szCs w:val="20"/>
        </w:rPr>
      </w:pPr>
      <w:r w:rsidRPr="007112D2">
        <w:rPr>
          <w:rFonts w:cs="Arial"/>
          <w:sz w:val="20"/>
          <w:szCs w:val="20"/>
        </w:rPr>
        <w:t>En el paciente sin déficit férrico deben investigarse las siguientes alteraciones como causa de inadecuada respuesta:</w:t>
      </w:r>
    </w:p>
    <w:p w:rsidR="00E81B3D" w:rsidRPr="007112D2" w:rsidRDefault="00E81B3D" w:rsidP="00983561">
      <w:pPr>
        <w:numPr>
          <w:ilvl w:val="0"/>
          <w:numId w:val="3"/>
        </w:numPr>
        <w:spacing w:before="40" w:after="40"/>
        <w:ind w:left="1560" w:hanging="284"/>
        <w:rPr>
          <w:rFonts w:cs="Arial"/>
          <w:sz w:val="20"/>
          <w:szCs w:val="20"/>
        </w:rPr>
      </w:pPr>
      <w:r w:rsidRPr="007112D2">
        <w:rPr>
          <w:rFonts w:cs="Arial"/>
          <w:sz w:val="20"/>
          <w:szCs w:val="20"/>
        </w:rPr>
        <w:t>Infección - inflamación.</w:t>
      </w:r>
    </w:p>
    <w:p w:rsidR="00E81B3D" w:rsidRPr="007112D2" w:rsidRDefault="00E81B3D" w:rsidP="00983561">
      <w:pPr>
        <w:numPr>
          <w:ilvl w:val="0"/>
          <w:numId w:val="3"/>
        </w:numPr>
        <w:spacing w:before="40" w:after="40"/>
        <w:ind w:left="1560" w:hanging="284"/>
        <w:rPr>
          <w:rFonts w:cs="Arial"/>
          <w:sz w:val="20"/>
          <w:szCs w:val="20"/>
        </w:rPr>
      </w:pPr>
      <w:r w:rsidRPr="007112D2">
        <w:rPr>
          <w:rFonts w:cs="Arial"/>
          <w:sz w:val="20"/>
          <w:szCs w:val="20"/>
        </w:rPr>
        <w:t>Pérdida sanguínea crónica.</w:t>
      </w:r>
    </w:p>
    <w:p w:rsidR="00E81B3D" w:rsidRPr="00445FDC" w:rsidRDefault="00E81B3D" w:rsidP="00983561">
      <w:pPr>
        <w:numPr>
          <w:ilvl w:val="0"/>
          <w:numId w:val="3"/>
        </w:numPr>
        <w:spacing w:before="40" w:after="40"/>
        <w:ind w:left="1560" w:hanging="284"/>
        <w:rPr>
          <w:rFonts w:cs="Arial"/>
          <w:sz w:val="20"/>
          <w:szCs w:val="20"/>
        </w:rPr>
      </w:pPr>
      <w:r w:rsidRPr="00445FDC">
        <w:rPr>
          <w:rFonts w:cs="Arial"/>
          <w:sz w:val="20"/>
          <w:szCs w:val="20"/>
        </w:rPr>
        <w:t>Osteítis fibrosa.</w:t>
      </w:r>
    </w:p>
    <w:p w:rsidR="00E81B3D" w:rsidRPr="00445FDC" w:rsidRDefault="00E81B3D" w:rsidP="00983561">
      <w:pPr>
        <w:numPr>
          <w:ilvl w:val="0"/>
          <w:numId w:val="3"/>
        </w:numPr>
        <w:spacing w:before="40" w:after="40"/>
        <w:ind w:left="1560" w:hanging="284"/>
        <w:rPr>
          <w:rFonts w:cs="Arial"/>
          <w:sz w:val="20"/>
          <w:szCs w:val="20"/>
        </w:rPr>
      </w:pPr>
      <w:r w:rsidRPr="00445FDC">
        <w:rPr>
          <w:rFonts w:cs="Arial"/>
          <w:sz w:val="20"/>
          <w:szCs w:val="20"/>
        </w:rPr>
        <w:t>Intoxicación alumínica.</w:t>
      </w:r>
    </w:p>
    <w:p w:rsidR="00E81B3D" w:rsidRPr="00445FDC" w:rsidRDefault="00E81B3D" w:rsidP="00983561">
      <w:pPr>
        <w:numPr>
          <w:ilvl w:val="0"/>
          <w:numId w:val="3"/>
        </w:numPr>
        <w:spacing w:before="40" w:after="40"/>
        <w:ind w:left="1560" w:hanging="284"/>
        <w:rPr>
          <w:rFonts w:cs="Arial"/>
          <w:sz w:val="20"/>
          <w:szCs w:val="20"/>
        </w:rPr>
      </w:pPr>
      <w:r w:rsidRPr="00445FDC">
        <w:rPr>
          <w:rFonts w:cs="Arial"/>
          <w:sz w:val="20"/>
          <w:szCs w:val="20"/>
        </w:rPr>
        <w:t>Hemoglobinopatías.</w:t>
      </w:r>
    </w:p>
    <w:p w:rsidR="00E81B3D" w:rsidRPr="00445FDC" w:rsidRDefault="00E81B3D" w:rsidP="00983561">
      <w:pPr>
        <w:numPr>
          <w:ilvl w:val="0"/>
          <w:numId w:val="3"/>
        </w:numPr>
        <w:spacing w:before="40" w:after="40"/>
        <w:ind w:left="1560" w:hanging="284"/>
        <w:rPr>
          <w:rFonts w:cs="Arial"/>
          <w:sz w:val="20"/>
          <w:szCs w:val="20"/>
          <w:lang w:val="pt-BR"/>
        </w:rPr>
      </w:pPr>
      <w:r w:rsidRPr="00445FDC">
        <w:rPr>
          <w:rFonts w:cs="Arial"/>
          <w:sz w:val="20"/>
          <w:szCs w:val="20"/>
          <w:lang w:val="pt-BR"/>
        </w:rPr>
        <w:t>Déficit de acido fólico o vitamina B12.</w:t>
      </w:r>
    </w:p>
    <w:p w:rsidR="00E81B3D" w:rsidRPr="00445FDC" w:rsidRDefault="00E81B3D" w:rsidP="00983561">
      <w:pPr>
        <w:numPr>
          <w:ilvl w:val="0"/>
          <w:numId w:val="3"/>
        </w:numPr>
        <w:spacing w:before="40" w:after="40"/>
        <w:ind w:left="1560" w:hanging="284"/>
        <w:rPr>
          <w:rFonts w:cs="Arial"/>
          <w:sz w:val="20"/>
          <w:szCs w:val="20"/>
        </w:rPr>
      </w:pPr>
      <w:r w:rsidRPr="00445FDC">
        <w:rPr>
          <w:rFonts w:cs="Arial"/>
          <w:sz w:val="20"/>
          <w:szCs w:val="20"/>
        </w:rPr>
        <w:t>Mieloma múltiple.</w:t>
      </w:r>
    </w:p>
    <w:p w:rsidR="00E81B3D" w:rsidRPr="00445FDC" w:rsidRDefault="00E81B3D" w:rsidP="00983561">
      <w:pPr>
        <w:numPr>
          <w:ilvl w:val="0"/>
          <w:numId w:val="3"/>
        </w:numPr>
        <w:spacing w:before="40" w:after="40"/>
        <w:ind w:left="1560" w:hanging="284"/>
        <w:rPr>
          <w:rFonts w:cs="Arial"/>
          <w:sz w:val="20"/>
          <w:szCs w:val="20"/>
        </w:rPr>
      </w:pPr>
      <w:r w:rsidRPr="00445FDC">
        <w:rPr>
          <w:rFonts w:cs="Arial"/>
          <w:sz w:val="20"/>
          <w:szCs w:val="20"/>
        </w:rPr>
        <w:t>Desnutrición.</w:t>
      </w:r>
    </w:p>
    <w:p w:rsidR="007908A6" w:rsidRPr="00633C54" w:rsidRDefault="00E81B3D" w:rsidP="007908A6">
      <w:pPr>
        <w:numPr>
          <w:ilvl w:val="0"/>
          <w:numId w:val="3"/>
        </w:numPr>
        <w:spacing w:before="40" w:after="40"/>
        <w:ind w:left="1560" w:hanging="284"/>
        <w:rPr>
          <w:rFonts w:cs="Arial"/>
          <w:sz w:val="20"/>
          <w:szCs w:val="20"/>
        </w:rPr>
      </w:pPr>
      <w:r w:rsidRPr="007112D2">
        <w:rPr>
          <w:rFonts w:cs="Arial"/>
          <w:sz w:val="20"/>
          <w:szCs w:val="20"/>
        </w:rPr>
        <w:t>Hemólisis.</w:t>
      </w:r>
    </w:p>
    <w:p w:rsidR="00E81B3D" w:rsidRPr="00DA3051" w:rsidRDefault="00E81B3D" w:rsidP="00983561">
      <w:pPr>
        <w:numPr>
          <w:ilvl w:val="0"/>
          <w:numId w:val="2"/>
        </w:numPr>
        <w:spacing w:before="120" w:after="120"/>
        <w:ind w:left="1276" w:hanging="283"/>
        <w:rPr>
          <w:rFonts w:cs="Arial"/>
          <w:b/>
          <w:sz w:val="20"/>
          <w:szCs w:val="20"/>
        </w:rPr>
      </w:pPr>
      <w:r w:rsidRPr="008C58BE">
        <w:rPr>
          <w:rFonts w:cs="Arial"/>
          <w:b/>
          <w:sz w:val="20"/>
          <w:szCs w:val="20"/>
        </w:rPr>
        <w:t>Cómo manejar la resistencia</w:t>
      </w:r>
      <w:r>
        <w:rPr>
          <w:rFonts w:cs="Arial"/>
          <w:b/>
          <w:sz w:val="20"/>
          <w:szCs w:val="20"/>
        </w:rPr>
        <w:t xml:space="preserve"> </w:t>
      </w:r>
      <w:r w:rsidRPr="008C58BE">
        <w:rPr>
          <w:rFonts w:cs="Arial"/>
          <w:b/>
          <w:sz w:val="20"/>
          <w:szCs w:val="20"/>
        </w:rPr>
        <w:t>a la EPO</w:t>
      </w:r>
    </w:p>
    <w:p w:rsidR="00E81B3D" w:rsidRPr="006E7715" w:rsidRDefault="00E81B3D" w:rsidP="00983561">
      <w:pPr>
        <w:spacing w:before="120" w:after="120"/>
        <w:ind w:left="1276"/>
        <w:rPr>
          <w:rFonts w:cs="Arial"/>
          <w:sz w:val="20"/>
          <w:szCs w:val="20"/>
        </w:rPr>
      </w:pPr>
      <w:r w:rsidRPr="008C58BE">
        <w:rPr>
          <w:rFonts w:cs="Arial"/>
          <w:sz w:val="20"/>
          <w:szCs w:val="20"/>
        </w:rPr>
        <w:t>Pueden administrarse</w:t>
      </w:r>
      <w:r w:rsidRPr="007112D2">
        <w:rPr>
          <w:rFonts w:cs="Arial"/>
          <w:sz w:val="20"/>
          <w:szCs w:val="20"/>
        </w:rPr>
        <w:t>:</w:t>
      </w:r>
    </w:p>
    <w:p w:rsidR="00E81B3D" w:rsidRPr="008C58BE" w:rsidRDefault="00E81B3D" w:rsidP="00983561">
      <w:pPr>
        <w:numPr>
          <w:ilvl w:val="0"/>
          <w:numId w:val="3"/>
        </w:numPr>
        <w:spacing w:before="40" w:after="40"/>
        <w:ind w:left="1560" w:hanging="284"/>
        <w:rPr>
          <w:rFonts w:cs="Arial"/>
          <w:sz w:val="20"/>
          <w:szCs w:val="20"/>
        </w:rPr>
      </w:pPr>
      <w:r>
        <w:rPr>
          <w:rFonts w:cs="Arial"/>
          <w:sz w:val="20"/>
          <w:szCs w:val="20"/>
        </w:rPr>
        <w:t>Carnitina</w:t>
      </w:r>
      <w:r w:rsidRPr="008C58BE">
        <w:rPr>
          <w:rFonts w:cs="Arial"/>
          <w:sz w:val="20"/>
          <w:szCs w:val="20"/>
        </w:rPr>
        <w:t xml:space="preserve"> </w:t>
      </w:r>
    </w:p>
    <w:p w:rsidR="00E81B3D" w:rsidRPr="008C58BE" w:rsidRDefault="00E81B3D" w:rsidP="00983561">
      <w:pPr>
        <w:numPr>
          <w:ilvl w:val="0"/>
          <w:numId w:val="3"/>
        </w:numPr>
        <w:spacing w:before="40" w:after="40"/>
        <w:ind w:left="1560" w:hanging="284"/>
        <w:rPr>
          <w:rFonts w:cs="Arial"/>
          <w:sz w:val="20"/>
          <w:szCs w:val="20"/>
        </w:rPr>
      </w:pPr>
      <w:r>
        <w:rPr>
          <w:rFonts w:cs="Arial"/>
          <w:sz w:val="20"/>
          <w:szCs w:val="20"/>
        </w:rPr>
        <w:t>Andró</w:t>
      </w:r>
      <w:r w:rsidRPr="008C58BE">
        <w:rPr>
          <w:rFonts w:cs="Arial"/>
          <w:sz w:val="20"/>
          <w:szCs w:val="20"/>
        </w:rPr>
        <w:t>genos.</w:t>
      </w:r>
    </w:p>
    <w:p w:rsidR="00E81B3D" w:rsidRDefault="00E81B3D" w:rsidP="00983561">
      <w:pPr>
        <w:numPr>
          <w:ilvl w:val="0"/>
          <w:numId w:val="3"/>
        </w:numPr>
        <w:spacing w:before="40" w:after="40"/>
        <w:ind w:left="1560" w:hanging="284"/>
        <w:rPr>
          <w:rFonts w:cs="Arial"/>
          <w:sz w:val="20"/>
          <w:szCs w:val="20"/>
        </w:rPr>
      </w:pPr>
      <w:r w:rsidRPr="008C58BE">
        <w:rPr>
          <w:rFonts w:cs="Arial"/>
          <w:sz w:val="20"/>
          <w:szCs w:val="20"/>
        </w:rPr>
        <w:t>Aumentar la dosis de diálisis (si es el caso).</w:t>
      </w:r>
    </w:p>
    <w:p w:rsidR="00633C54" w:rsidRPr="008C58BE" w:rsidRDefault="00633C54" w:rsidP="00633C54">
      <w:pPr>
        <w:spacing w:before="40" w:after="40"/>
        <w:ind w:left="1560"/>
        <w:rPr>
          <w:rFonts w:cs="Arial"/>
          <w:sz w:val="20"/>
          <w:szCs w:val="20"/>
        </w:rPr>
      </w:pPr>
    </w:p>
    <w:p w:rsidR="00E81B3D" w:rsidRPr="00DA3051" w:rsidRDefault="00E81B3D" w:rsidP="00983561">
      <w:pPr>
        <w:numPr>
          <w:ilvl w:val="0"/>
          <w:numId w:val="2"/>
        </w:numPr>
        <w:spacing w:before="120" w:after="120"/>
        <w:ind w:left="1276" w:hanging="283"/>
        <w:rPr>
          <w:rFonts w:cs="Arial"/>
          <w:b/>
          <w:sz w:val="20"/>
          <w:szCs w:val="20"/>
        </w:rPr>
      </w:pPr>
      <w:r w:rsidRPr="008C58BE">
        <w:rPr>
          <w:rFonts w:cs="Arial"/>
          <w:b/>
          <w:sz w:val="20"/>
          <w:szCs w:val="20"/>
        </w:rPr>
        <w:t>Transfusiones en pacientes con ERC</w:t>
      </w:r>
    </w:p>
    <w:p w:rsidR="00E81B3D" w:rsidRPr="008C58BE" w:rsidRDefault="00E81B3D" w:rsidP="00983561">
      <w:pPr>
        <w:numPr>
          <w:ilvl w:val="0"/>
          <w:numId w:val="3"/>
        </w:numPr>
        <w:spacing w:before="120" w:after="120"/>
        <w:ind w:left="1560" w:hanging="284"/>
        <w:rPr>
          <w:rFonts w:cs="Arial"/>
          <w:sz w:val="20"/>
          <w:szCs w:val="20"/>
        </w:rPr>
      </w:pPr>
      <w:r w:rsidRPr="008C58BE">
        <w:rPr>
          <w:rFonts w:cs="Arial"/>
          <w:sz w:val="20"/>
          <w:szCs w:val="20"/>
        </w:rPr>
        <w:t>En pacientes con síndrome funcional anémico</w:t>
      </w:r>
      <w:r>
        <w:rPr>
          <w:rFonts w:cs="Arial"/>
          <w:sz w:val="20"/>
          <w:szCs w:val="20"/>
        </w:rPr>
        <w:t>.</w:t>
      </w:r>
    </w:p>
    <w:p w:rsidR="00E81B3D" w:rsidRDefault="00E81B3D" w:rsidP="00983561">
      <w:pPr>
        <w:numPr>
          <w:ilvl w:val="0"/>
          <w:numId w:val="3"/>
        </w:numPr>
        <w:spacing w:before="120" w:after="120"/>
        <w:ind w:left="1560" w:hanging="284"/>
        <w:rPr>
          <w:rFonts w:cs="Arial"/>
          <w:sz w:val="20"/>
          <w:szCs w:val="20"/>
        </w:rPr>
      </w:pPr>
      <w:r w:rsidRPr="008C58BE">
        <w:rPr>
          <w:rFonts w:cs="Arial"/>
          <w:sz w:val="20"/>
          <w:szCs w:val="20"/>
        </w:rPr>
        <w:t>En pacientes resistentes a EPO con pérdidas sanguíneas crónicas.</w:t>
      </w:r>
    </w:p>
    <w:p w:rsidR="00E81B3D" w:rsidRPr="00DA3051" w:rsidRDefault="00E81B3D" w:rsidP="00983561">
      <w:pPr>
        <w:numPr>
          <w:ilvl w:val="0"/>
          <w:numId w:val="2"/>
        </w:numPr>
        <w:spacing w:before="120" w:after="120"/>
        <w:ind w:left="1276" w:hanging="283"/>
        <w:rPr>
          <w:rFonts w:cs="Arial"/>
          <w:b/>
          <w:sz w:val="20"/>
          <w:szCs w:val="20"/>
        </w:rPr>
      </w:pPr>
      <w:r w:rsidRPr="008C58BE">
        <w:rPr>
          <w:rFonts w:cs="Arial"/>
          <w:b/>
          <w:sz w:val="20"/>
          <w:szCs w:val="20"/>
        </w:rPr>
        <w:t>Posibles efectos adversos secundarios al tratamiento con AEE</w:t>
      </w:r>
    </w:p>
    <w:p w:rsidR="00E81B3D" w:rsidRPr="00C352B1" w:rsidRDefault="00E81B3D" w:rsidP="00A45F61">
      <w:pPr>
        <w:spacing w:before="120" w:after="120"/>
        <w:ind w:left="1276"/>
        <w:rPr>
          <w:rFonts w:cs="Arial"/>
          <w:sz w:val="20"/>
          <w:szCs w:val="20"/>
        </w:rPr>
      </w:pPr>
      <w:r w:rsidRPr="00C352B1">
        <w:rPr>
          <w:rFonts w:cs="Arial"/>
          <w:sz w:val="20"/>
          <w:szCs w:val="20"/>
        </w:rPr>
        <w:t>HTA, convulsiones, trombosis de la fístula arterio-venosa FAV, incremento de la viscosidad sanguínea. El tratamiento con AEE cuando se ha superado Hb &gt; 13g/dl se ha asociado con elevadas tasas de enfermedad cardiovascular aunque sin incremento de la mortalidad</w:t>
      </w:r>
      <w:r w:rsidRPr="00E80F9C">
        <w:rPr>
          <w:rFonts w:cs="Arial"/>
          <w:color w:val="FF0000"/>
          <w:sz w:val="20"/>
          <w:szCs w:val="20"/>
        </w:rPr>
        <w:t xml:space="preserve"> </w:t>
      </w:r>
      <w:r w:rsidRPr="00C352B1">
        <w:rPr>
          <w:rStyle w:val="Refdenotaalfinal"/>
          <w:rFonts w:cs="Arial"/>
          <w:sz w:val="20"/>
          <w:szCs w:val="20"/>
        </w:rPr>
        <w:endnoteReference w:id="158"/>
      </w:r>
      <w:r w:rsidRPr="00C352B1">
        <w:rPr>
          <w:rFonts w:cs="Arial"/>
          <w:sz w:val="20"/>
          <w:szCs w:val="20"/>
        </w:rPr>
        <w:t>.</w:t>
      </w:r>
    </w:p>
    <w:p w:rsidR="00651852" w:rsidRDefault="00651852" w:rsidP="00651852">
      <w:pPr>
        <w:spacing w:before="120" w:after="120"/>
        <w:ind w:left="1276"/>
        <w:rPr>
          <w:rFonts w:cs="Arial"/>
          <w:b/>
          <w:sz w:val="20"/>
          <w:szCs w:val="20"/>
        </w:rPr>
      </w:pPr>
    </w:p>
    <w:p w:rsidR="00E81B3D" w:rsidRPr="00DA3051" w:rsidRDefault="00E81B3D" w:rsidP="00983561">
      <w:pPr>
        <w:numPr>
          <w:ilvl w:val="0"/>
          <w:numId w:val="2"/>
        </w:numPr>
        <w:spacing w:before="120" w:after="120"/>
        <w:ind w:left="1276" w:hanging="283"/>
        <w:rPr>
          <w:rFonts w:cs="Arial"/>
          <w:b/>
          <w:sz w:val="20"/>
          <w:szCs w:val="20"/>
        </w:rPr>
      </w:pPr>
      <w:r w:rsidRPr="008C58BE">
        <w:rPr>
          <w:rFonts w:cs="Arial"/>
          <w:b/>
          <w:sz w:val="20"/>
          <w:szCs w:val="20"/>
        </w:rPr>
        <w:lastRenderedPageBreak/>
        <w:t>Hb objetivo</w:t>
      </w:r>
    </w:p>
    <w:p w:rsidR="00E81B3D" w:rsidRPr="008C58BE" w:rsidRDefault="00E81B3D" w:rsidP="00983561">
      <w:pPr>
        <w:spacing w:before="120" w:after="120"/>
        <w:ind w:left="1276"/>
        <w:rPr>
          <w:rFonts w:cs="Arial"/>
          <w:sz w:val="20"/>
          <w:szCs w:val="20"/>
        </w:rPr>
      </w:pPr>
      <w:r w:rsidRPr="008C58BE">
        <w:rPr>
          <w:rFonts w:cs="Arial"/>
          <w:sz w:val="20"/>
          <w:szCs w:val="20"/>
        </w:rPr>
        <w:t>Hb: 10-12</w:t>
      </w:r>
      <w:r>
        <w:rPr>
          <w:rFonts w:cs="Arial"/>
          <w:sz w:val="20"/>
          <w:szCs w:val="20"/>
        </w:rPr>
        <w:t xml:space="preserve"> </w:t>
      </w:r>
      <w:r w:rsidRPr="008C58BE">
        <w:rPr>
          <w:rFonts w:cs="Arial"/>
          <w:sz w:val="20"/>
          <w:szCs w:val="20"/>
        </w:rPr>
        <w:t>g/dl.</w:t>
      </w:r>
    </w:p>
    <w:p w:rsidR="00E81B3D" w:rsidRDefault="00E81B3D" w:rsidP="00983561">
      <w:pPr>
        <w:spacing w:before="120" w:after="120"/>
        <w:ind w:left="1276"/>
        <w:rPr>
          <w:rFonts w:cs="Arial"/>
          <w:sz w:val="20"/>
          <w:szCs w:val="20"/>
        </w:rPr>
      </w:pPr>
      <w:r w:rsidRPr="008C58BE">
        <w:rPr>
          <w:rFonts w:cs="Arial"/>
          <w:sz w:val="20"/>
          <w:szCs w:val="20"/>
        </w:rPr>
        <w:t>El control de la anemia en el paciente con ERC debe</w:t>
      </w:r>
      <w:r>
        <w:rPr>
          <w:rFonts w:cs="Arial"/>
          <w:sz w:val="20"/>
          <w:szCs w:val="20"/>
        </w:rPr>
        <w:t xml:space="preserve"> </w:t>
      </w:r>
      <w:r w:rsidRPr="008C58BE">
        <w:rPr>
          <w:rFonts w:cs="Arial"/>
          <w:sz w:val="20"/>
          <w:szCs w:val="20"/>
        </w:rPr>
        <w:t>incluir programas de educación a pacientes que incluyan información sobre el problema d</w:t>
      </w:r>
      <w:r>
        <w:rPr>
          <w:rFonts w:cs="Arial"/>
          <w:sz w:val="20"/>
          <w:szCs w:val="20"/>
        </w:rPr>
        <w:t xml:space="preserve">e salud, soporte profesional y </w:t>
      </w:r>
      <w:r w:rsidRPr="008C58BE">
        <w:rPr>
          <w:rFonts w:cs="Arial"/>
          <w:sz w:val="20"/>
          <w:szCs w:val="20"/>
        </w:rPr>
        <w:t>estilos de vida.</w:t>
      </w:r>
    </w:p>
    <w:p w:rsidR="00E81B3D" w:rsidRDefault="00E81B3D" w:rsidP="00983561">
      <w:pPr>
        <w:spacing w:before="120" w:after="120"/>
        <w:ind w:left="1276"/>
        <w:rPr>
          <w:rFonts w:cs="Arial"/>
          <w:sz w:val="20"/>
          <w:szCs w:val="20"/>
        </w:rPr>
      </w:pPr>
    </w:p>
    <w:p w:rsidR="00E81B3D" w:rsidRPr="00215D7C" w:rsidRDefault="00E81B3D" w:rsidP="0046272A">
      <w:pPr>
        <w:pStyle w:val="Ttulo2"/>
        <w:ind w:left="993" w:hanging="426"/>
        <w:rPr>
          <w:rFonts w:ascii="Arial" w:hAnsi="Arial" w:cs="Arial"/>
          <w:i w:val="0"/>
          <w:sz w:val="20"/>
          <w:szCs w:val="20"/>
        </w:rPr>
      </w:pPr>
      <w:bookmarkStart w:id="71" w:name="_Toc341725537"/>
      <w:r w:rsidRPr="00215D7C">
        <w:rPr>
          <w:rFonts w:ascii="Arial" w:hAnsi="Arial" w:cs="Arial"/>
          <w:i w:val="0"/>
          <w:sz w:val="20"/>
          <w:szCs w:val="20"/>
        </w:rPr>
        <w:t>Detección de las alteraciones del metabolismo óseo mineral.</w:t>
      </w:r>
      <w:bookmarkEnd w:id="69"/>
      <w:bookmarkEnd w:id="70"/>
      <w:bookmarkEnd w:id="71"/>
    </w:p>
    <w:p w:rsidR="00E81B3D" w:rsidRDefault="00E81B3D" w:rsidP="009A7C55">
      <w:pPr>
        <w:spacing w:before="120" w:after="120"/>
        <w:ind w:left="993"/>
        <w:rPr>
          <w:rFonts w:cs="Arial"/>
          <w:sz w:val="20"/>
          <w:szCs w:val="20"/>
        </w:rPr>
      </w:pPr>
      <w:bookmarkStart w:id="72" w:name="_Toc316486479"/>
      <w:bookmarkStart w:id="73" w:name="_Toc316486578"/>
      <w:r w:rsidRPr="00C352B1">
        <w:rPr>
          <w:rFonts w:cs="Arial"/>
          <w:sz w:val="20"/>
          <w:szCs w:val="20"/>
        </w:rPr>
        <w:t xml:space="preserve">Las alteraciones en el metabolismo del calcio y fósforo en la ERC se asocian con diversos tipos de enfermedad ósea (osteodistrofia renal), con hiperparatiroidismo secundario a la ERC, presencia de calcificaciones coronarias, vasculares y valvulares, todo lo cual confiere al paciente con ERC una mayor morbilidad y mortalidad, en un contexto que se ha definido como CKD-MBD (Chronic Kidney Disease-Mineral and Bone Disorder) y que refleja que dichas alteraciones comportan complicaciones que </w:t>
      </w:r>
      <w:r w:rsidRPr="009A7C55">
        <w:rPr>
          <w:rFonts w:cs="Arial"/>
          <w:sz w:val="20"/>
          <w:szCs w:val="20"/>
        </w:rPr>
        <w:t>van más allá de la simple afectación ósea e implica a otros sistemas, e</w:t>
      </w:r>
      <w:r>
        <w:rPr>
          <w:rFonts w:cs="Arial"/>
          <w:sz w:val="20"/>
          <w:szCs w:val="20"/>
        </w:rPr>
        <w:t>specialmente al cardio-vascular</w:t>
      </w:r>
      <w:r w:rsidRPr="009A7C55">
        <w:rPr>
          <w:rFonts w:cs="Arial"/>
          <w:sz w:val="20"/>
          <w:szCs w:val="20"/>
        </w:rPr>
        <w:t xml:space="preserve">. Al conjunto de reguladores clásicos </w:t>
      </w:r>
      <w:r>
        <w:rPr>
          <w:rFonts w:cs="Arial"/>
          <w:sz w:val="20"/>
          <w:szCs w:val="20"/>
        </w:rPr>
        <w:t>del metabolismo óseo tales como</w:t>
      </w:r>
      <w:r w:rsidRPr="009A7C55">
        <w:rPr>
          <w:rFonts w:cs="Arial"/>
          <w:sz w:val="20"/>
          <w:szCs w:val="20"/>
        </w:rPr>
        <w:t xml:space="preserve"> las concentraciones séricas de calcio, fosfato, hormona paratiroidea (PTH) y calcitriol se ha añadido el factor de crecimiento fibroblástico 23 (FGF-23). ). El aumento</w:t>
      </w:r>
      <w:r w:rsidRPr="00C352B1">
        <w:rPr>
          <w:rFonts w:cs="Arial"/>
          <w:sz w:val="20"/>
          <w:szCs w:val="20"/>
        </w:rPr>
        <w:t xml:space="preserve"> precoz de FGF-23 en la ERC es un mecanismo fisiopatológico alternativo para los desórdenes del metabolismo óseo y mineral en la ERC y podría constituir un nuevo objetivo para intervenciones terapéuticas futuras</w:t>
      </w:r>
      <w:r>
        <w:rPr>
          <w:rStyle w:val="Refdenotaalfinal"/>
          <w:rFonts w:cs="Arial"/>
          <w:sz w:val="20"/>
          <w:szCs w:val="20"/>
        </w:rPr>
        <w:endnoteReference w:id="159"/>
      </w:r>
      <w:r>
        <w:rPr>
          <w:rFonts w:cs="Arial"/>
          <w:sz w:val="20"/>
          <w:szCs w:val="20"/>
        </w:rPr>
        <w:t>.</w:t>
      </w:r>
    </w:p>
    <w:p w:rsidR="00E81B3D" w:rsidRPr="008C58BE" w:rsidRDefault="00E81B3D" w:rsidP="00A45F61">
      <w:pPr>
        <w:spacing w:before="120" w:after="120"/>
        <w:ind w:left="993"/>
        <w:rPr>
          <w:rFonts w:cs="Arial"/>
          <w:sz w:val="20"/>
          <w:szCs w:val="20"/>
        </w:rPr>
      </w:pPr>
      <w:r w:rsidRPr="008C58BE">
        <w:rPr>
          <w:rFonts w:cs="Arial"/>
          <w:sz w:val="20"/>
          <w:szCs w:val="20"/>
        </w:rPr>
        <w:t xml:space="preserve">La manifestación </w:t>
      </w:r>
      <w:r w:rsidRPr="00C352B1">
        <w:rPr>
          <w:rFonts w:cs="Arial"/>
          <w:sz w:val="20"/>
          <w:szCs w:val="20"/>
        </w:rPr>
        <w:t>bioquímica más</w:t>
      </w:r>
      <w:r w:rsidRPr="008C58BE">
        <w:rPr>
          <w:rFonts w:cs="Arial"/>
          <w:sz w:val="20"/>
          <w:szCs w:val="20"/>
        </w:rPr>
        <w:t xml:space="preserve"> temprana es el incremento</w:t>
      </w:r>
      <w:r>
        <w:rPr>
          <w:rFonts w:cs="Arial"/>
          <w:sz w:val="20"/>
          <w:szCs w:val="20"/>
        </w:rPr>
        <w:t xml:space="preserve"> </w:t>
      </w:r>
      <w:r w:rsidRPr="008C58BE">
        <w:rPr>
          <w:rFonts w:cs="Arial"/>
          <w:sz w:val="20"/>
          <w:szCs w:val="20"/>
        </w:rPr>
        <w:t>de la</w:t>
      </w:r>
      <w:r>
        <w:rPr>
          <w:rFonts w:cs="Arial"/>
          <w:sz w:val="20"/>
          <w:szCs w:val="20"/>
        </w:rPr>
        <w:t xml:space="preserve"> </w:t>
      </w:r>
      <w:r w:rsidRPr="008C58BE">
        <w:rPr>
          <w:rFonts w:cs="Arial"/>
          <w:sz w:val="20"/>
          <w:szCs w:val="20"/>
        </w:rPr>
        <w:t>PTH, producida por</w:t>
      </w:r>
      <w:r>
        <w:rPr>
          <w:rFonts w:cs="Arial"/>
          <w:sz w:val="20"/>
          <w:szCs w:val="20"/>
        </w:rPr>
        <w:t>:</w:t>
      </w:r>
    </w:p>
    <w:p w:rsidR="00E81B3D" w:rsidRPr="000A6CBF" w:rsidRDefault="00E81B3D" w:rsidP="001845AD">
      <w:pPr>
        <w:numPr>
          <w:ilvl w:val="0"/>
          <w:numId w:val="3"/>
        </w:numPr>
        <w:spacing w:before="120" w:after="120"/>
        <w:ind w:left="1560" w:hanging="284"/>
        <w:rPr>
          <w:rFonts w:cs="Arial"/>
          <w:sz w:val="20"/>
          <w:szCs w:val="20"/>
        </w:rPr>
      </w:pPr>
      <w:r>
        <w:rPr>
          <w:rFonts w:cs="Arial"/>
          <w:sz w:val="20"/>
          <w:szCs w:val="20"/>
        </w:rPr>
        <w:t>e</w:t>
      </w:r>
      <w:r w:rsidRPr="000A6CBF">
        <w:rPr>
          <w:rFonts w:cs="Arial"/>
          <w:sz w:val="20"/>
          <w:szCs w:val="20"/>
        </w:rPr>
        <w:t>l déficit de vitamina D (calcitriol)</w:t>
      </w:r>
    </w:p>
    <w:p w:rsidR="00E81B3D" w:rsidRPr="000A6CBF" w:rsidRDefault="00E81B3D" w:rsidP="001845AD">
      <w:pPr>
        <w:numPr>
          <w:ilvl w:val="0"/>
          <w:numId w:val="3"/>
        </w:numPr>
        <w:spacing w:before="120" w:after="120"/>
        <w:ind w:left="1560" w:hanging="284"/>
        <w:rPr>
          <w:rFonts w:cs="Arial"/>
          <w:sz w:val="20"/>
          <w:szCs w:val="20"/>
        </w:rPr>
      </w:pPr>
      <w:r>
        <w:rPr>
          <w:rFonts w:cs="Arial"/>
          <w:sz w:val="20"/>
          <w:szCs w:val="20"/>
        </w:rPr>
        <w:t>l</w:t>
      </w:r>
      <w:r w:rsidRPr="000A6CBF">
        <w:rPr>
          <w:rFonts w:cs="Arial"/>
          <w:sz w:val="20"/>
          <w:szCs w:val="20"/>
        </w:rPr>
        <w:t xml:space="preserve">a retención de </w:t>
      </w:r>
      <w:r>
        <w:rPr>
          <w:rFonts w:cs="Arial"/>
          <w:sz w:val="20"/>
          <w:szCs w:val="20"/>
        </w:rPr>
        <w:t>fosfato (con o sin hiperfosfatem</w:t>
      </w:r>
      <w:r w:rsidRPr="000A6CBF">
        <w:rPr>
          <w:rFonts w:cs="Arial"/>
          <w:sz w:val="20"/>
          <w:szCs w:val="20"/>
        </w:rPr>
        <w:t>ia)</w:t>
      </w:r>
    </w:p>
    <w:p w:rsidR="00E81B3D" w:rsidRDefault="00E81B3D" w:rsidP="001845AD">
      <w:pPr>
        <w:numPr>
          <w:ilvl w:val="0"/>
          <w:numId w:val="3"/>
        </w:numPr>
        <w:spacing w:before="120" w:after="120"/>
        <w:ind w:left="1560" w:hanging="284"/>
        <w:rPr>
          <w:rFonts w:cs="Arial"/>
          <w:sz w:val="20"/>
          <w:szCs w:val="20"/>
        </w:rPr>
      </w:pPr>
      <w:r>
        <w:rPr>
          <w:rFonts w:cs="Arial"/>
          <w:sz w:val="20"/>
          <w:szCs w:val="20"/>
        </w:rPr>
        <w:t>l</w:t>
      </w:r>
      <w:r w:rsidRPr="000A6CBF">
        <w:rPr>
          <w:rFonts w:cs="Arial"/>
          <w:sz w:val="20"/>
          <w:szCs w:val="20"/>
        </w:rPr>
        <w:t>a hipocalcemia.</w:t>
      </w:r>
    </w:p>
    <w:p w:rsidR="00E81B3D" w:rsidRDefault="00E81B3D" w:rsidP="0099669D">
      <w:pPr>
        <w:spacing w:before="120" w:after="120"/>
        <w:ind w:left="1560"/>
        <w:rPr>
          <w:rFonts w:cs="Arial"/>
          <w:sz w:val="20"/>
          <w:szCs w:val="20"/>
        </w:rPr>
      </w:pPr>
    </w:p>
    <w:p w:rsidR="00E81B3D" w:rsidRPr="00DA3051" w:rsidRDefault="00E81B3D" w:rsidP="001845AD">
      <w:pPr>
        <w:numPr>
          <w:ilvl w:val="0"/>
          <w:numId w:val="2"/>
        </w:numPr>
        <w:spacing w:before="120" w:after="120"/>
        <w:ind w:left="1276" w:hanging="283"/>
        <w:rPr>
          <w:rFonts w:cs="Arial"/>
          <w:b/>
          <w:sz w:val="20"/>
          <w:szCs w:val="20"/>
        </w:rPr>
      </w:pPr>
      <w:r>
        <w:rPr>
          <w:rFonts w:cs="Arial"/>
          <w:b/>
          <w:sz w:val="20"/>
          <w:szCs w:val="20"/>
        </w:rPr>
        <w:t>O</w:t>
      </w:r>
      <w:r w:rsidRPr="008C58BE">
        <w:rPr>
          <w:rFonts w:cs="Arial"/>
          <w:b/>
          <w:sz w:val="20"/>
          <w:szCs w:val="20"/>
        </w:rPr>
        <w:t>bjetivo</w:t>
      </w:r>
      <w:r>
        <w:rPr>
          <w:rFonts w:cs="Arial"/>
          <w:b/>
          <w:sz w:val="20"/>
          <w:szCs w:val="20"/>
        </w:rPr>
        <w:t>s</w:t>
      </w:r>
    </w:p>
    <w:p w:rsidR="00E81B3D" w:rsidRPr="009A7C55" w:rsidRDefault="00E81B3D" w:rsidP="000A28D6">
      <w:pPr>
        <w:numPr>
          <w:ilvl w:val="0"/>
          <w:numId w:val="3"/>
        </w:numPr>
        <w:spacing w:before="120" w:after="120"/>
        <w:ind w:left="1560" w:hanging="284"/>
        <w:rPr>
          <w:rFonts w:cs="Arial"/>
          <w:sz w:val="20"/>
          <w:szCs w:val="20"/>
        </w:rPr>
      </w:pPr>
      <w:r w:rsidRPr="009A7C55">
        <w:rPr>
          <w:rFonts w:cs="Arial"/>
          <w:sz w:val="20"/>
          <w:szCs w:val="20"/>
        </w:rPr>
        <w:t>evitar la hiperfosfatemia</w:t>
      </w:r>
    </w:p>
    <w:p w:rsidR="00E81B3D" w:rsidRPr="009A7C55" w:rsidRDefault="00E81B3D" w:rsidP="009A7C55">
      <w:pPr>
        <w:numPr>
          <w:ilvl w:val="0"/>
          <w:numId w:val="3"/>
        </w:numPr>
        <w:spacing w:before="120" w:after="120"/>
        <w:ind w:left="1560" w:hanging="284"/>
        <w:rPr>
          <w:rFonts w:cs="Arial"/>
          <w:sz w:val="20"/>
          <w:szCs w:val="20"/>
        </w:rPr>
      </w:pPr>
      <w:r w:rsidRPr="009A7C55">
        <w:rPr>
          <w:rFonts w:cs="Arial"/>
          <w:sz w:val="20"/>
          <w:szCs w:val="20"/>
        </w:rPr>
        <w:t>mantener concentraciones normales de calcio y fosfato</w:t>
      </w:r>
    </w:p>
    <w:p w:rsidR="00E81B3D" w:rsidRPr="00C352B1" w:rsidRDefault="00E81B3D" w:rsidP="000A28D6">
      <w:pPr>
        <w:numPr>
          <w:ilvl w:val="0"/>
          <w:numId w:val="3"/>
        </w:numPr>
        <w:spacing w:before="120" w:after="120"/>
        <w:ind w:left="1560" w:hanging="284"/>
        <w:rPr>
          <w:rFonts w:cs="Arial"/>
          <w:sz w:val="20"/>
          <w:szCs w:val="20"/>
        </w:rPr>
      </w:pPr>
      <w:r w:rsidRPr="00C352B1">
        <w:rPr>
          <w:rFonts w:cs="Arial"/>
          <w:sz w:val="20"/>
          <w:szCs w:val="20"/>
        </w:rPr>
        <w:t>evitar la instauración y progresión del hiperparatiroidismo secundario a la ERC.</w:t>
      </w:r>
    </w:p>
    <w:p w:rsidR="00E81B3D" w:rsidRPr="00050219" w:rsidRDefault="00E81B3D" w:rsidP="00A45F61">
      <w:pPr>
        <w:spacing w:before="120" w:after="120"/>
        <w:ind w:left="993"/>
        <w:rPr>
          <w:rFonts w:cs="Arial"/>
          <w:color w:val="FF0000"/>
          <w:sz w:val="20"/>
          <w:szCs w:val="20"/>
        </w:rPr>
      </w:pPr>
      <w:r w:rsidRPr="00C352B1">
        <w:rPr>
          <w:rFonts w:cs="Arial"/>
          <w:sz w:val="20"/>
          <w:szCs w:val="20"/>
        </w:rPr>
        <w:t>Según las Guías K-DOQI 2003, SEN 2007, SEN 2011 y las nuevas K-DIGO 2009, el objetivo terapéutico es variable en los diversos estadios de la ERC</w:t>
      </w:r>
      <w:r w:rsidRPr="00C352B1">
        <w:rPr>
          <w:rFonts w:cs="Arial"/>
          <w:b/>
          <w:sz w:val="20"/>
          <w:szCs w:val="20"/>
        </w:rPr>
        <w:t>, p</w:t>
      </w:r>
      <w:r w:rsidRPr="00C352B1">
        <w:rPr>
          <w:rFonts w:cs="Arial"/>
          <w:sz w:val="20"/>
          <w:szCs w:val="20"/>
        </w:rPr>
        <w:t xml:space="preserve">ero se deben mantener dentro de límites normales Ca, P y PTH, excepto en el </w:t>
      </w:r>
      <w:r w:rsidRPr="00863413">
        <w:rPr>
          <w:rFonts w:cs="Arial"/>
          <w:sz w:val="20"/>
          <w:szCs w:val="20"/>
        </w:rPr>
        <w:t xml:space="preserve">estadio 4 ó 5 en que se aconseja mantener la PTH en valores ligeramente superiores a la normalidad. En estadios 3 y 4 la frecuencia de determinaciones de Ca, P y PTH debe ser </w:t>
      </w:r>
      <w:r w:rsidRPr="000323A9">
        <w:rPr>
          <w:rFonts w:cs="Arial"/>
          <w:sz w:val="20"/>
          <w:szCs w:val="20"/>
        </w:rPr>
        <w:t>semestral.</w:t>
      </w:r>
      <w:r w:rsidRPr="000323A9">
        <w:rPr>
          <w:rStyle w:val="Refdenotaalfinal"/>
          <w:sz w:val="20"/>
          <w:szCs w:val="20"/>
        </w:rPr>
        <w:endnoteReference w:id="160"/>
      </w:r>
    </w:p>
    <w:p w:rsidR="00E81B3D" w:rsidRPr="00C352B1" w:rsidRDefault="00E81B3D" w:rsidP="00A45F61">
      <w:pPr>
        <w:spacing w:before="120" w:after="120"/>
        <w:ind w:left="993"/>
        <w:rPr>
          <w:rFonts w:cs="Arial"/>
          <w:sz w:val="20"/>
          <w:szCs w:val="20"/>
        </w:rPr>
      </w:pPr>
      <w:r w:rsidRPr="00863413">
        <w:rPr>
          <w:rFonts w:cs="Arial"/>
          <w:sz w:val="20"/>
          <w:szCs w:val="20"/>
        </w:rPr>
        <w:t>Las guías recomiendan medir el calcidiol (25-OH-vitamina D) (idealmente entre 20-30 ng/ml (50-75 nmol/L), aunque no hay consenso en estos límites</w:t>
      </w:r>
      <w:r w:rsidRPr="008C58BE">
        <w:rPr>
          <w:rFonts w:cs="Arial"/>
          <w:sz w:val="20"/>
          <w:szCs w:val="20"/>
        </w:rPr>
        <w:t xml:space="preserve"> y hay gran contro</w:t>
      </w:r>
      <w:r>
        <w:rPr>
          <w:rFonts w:cs="Arial"/>
          <w:sz w:val="20"/>
          <w:szCs w:val="20"/>
        </w:rPr>
        <w:t>versia en este as</w:t>
      </w:r>
      <w:r w:rsidRPr="008C58BE">
        <w:rPr>
          <w:rFonts w:cs="Arial"/>
          <w:sz w:val="20"/>
          <w:szCs w:val="20"/>
        </w:rPr>
        <w:t xml:space="preserve">pecto entre las </w:t>
      </w:r>
      <w:r w:rsidRPr="00C352B1">
        <w:rPr>
          <w:rFonts w:cs="Arial"/>
          <w:sz w:val="20"/>
          <w:szCs w:val="20"/>
        </w:rPr>
        <w:t>diversas sociedades científicas, considerándose déficit las concentraciones inferiores a 15 ng/ml e insuficiencia las concentraciones entre 15 y 30 ng/ml. El 80% de estos pacientes suelen tener concentraciones bajas, y es también muy frecuente entre la población general. Los niveles bajos de calcidiol se asocian a mayor mortalidad, tanto en pacientes con ERC como en la población general.</w:t>
      </w:r>
    </w:p>
    <w:p w:rsidR="00E81B3D" w:rsidRPr="00C352B1" w:rsidRDefault="00E81B3D" w:rsidP="00A45F61">
      <w:pPr>
        <w:spacing w:before="120" w:after="120"/>
        <w:ind w:left="993"/>
        <w:rPr>
          <w:rFonts w:cs="Arial"/>
          <w:sz w:val="20"/>
          <w:szCs w:val="20"/>
        </w:rPr>
      </w:pPr>
      <w:r w:rsidRPr="00C352B1">
        <w:rPr>
          <w:rFonts w:cs="Arial"/>
          <w:sz w:val="20"/>
          <w:szCs w:val="20"/>
        </w:rPr>
        <w:t xml:space="preserve">Un pequeño grado de hiperparatiroidismo estable no es preocupante, pero el hiperparatiroidismo progresivo, con valores de PTH </w:t>
      </w:r>
      <w:r w:rsidRPr="00743D35">
        <w:rPr>
          <w:rFonts w:cs="Arial"/>
          <w:i/>
          <w:sz w:val="20"/>
          <w:szCs w:val="20"/>
        </w:rPr>
        <w:t>tres veces superiores</w:t>
      </w:r>
      <w:r w:rsidRPr="00C352B1">
        <w:rPr>
          <w:rFonts w:cs="Arial"/>
          <w:sz w:val="20"/>
          <w:szCs w:val="20"/>
        </w:rPr>
        <w:t xml:space="preserve"> </w:t>
      </w:r>
      <w:r>
        <w:rPr>
          <w:rFonts w:cs="Arial"/>
          <w:sz w:val="20"/>
          <w:szCs w:val="20"/>
        </w:rPr>
        <w:t xml:space="preserve">al valor de referencia </w:t>
      </w:r>
      <w:r w:rsidRPr="000323A9">
        <w:rPr>
          <w:rFonts w:cs="Arial"/>
          <w:sz w:val="20"/>
          <w:szCs w:val="20"/>
        </w:rPr>
        <w:t xml:space="preserve">requiere </w:t>
      </w:r>
      <w:r w:rsidRPr="00C352B1">
        <w:rPr>
          <w:rFonts w:cs="Arial"/>
          <w:sz w:val="20"/>
          <w:szCs w:val="20"/>
        </w:rPr>
        <w:t>una consulta al especialista de Nefrología.</w:t>
      </w:r>
    </w:p>
    <w:p w:rsidR="00E81B3D" w:rsidRPr="00C352B1" w:rsidRDefault="00E81B3D" w:rsidP="00A45F61">
      <w:pPr>
        <w:spacing w:before="120" w:after="120"/>
        <w:ind w:left="993"/>
        <w:rPr>
          <w:rFonts w:cs="Arial"/>
          <w:sz w:val="20"/>
          <w:szCs w:val="20"/>
        </w:rPr>
      </w:pPr>
      <w:r w:rsidRPr="00C352B1">
        <w:rPr>
          <w:rFonts w:cs="Arial"/>
          <w:sz w:val="20"/>
          <w:szCs w:val="20"/>
        </w:rPr>
        <w:t xml:space="preserve">Niveles elevados de P, por ejemplo superiores a </w:t>
      </w:r>
      <w:r w:rsidRPr="00743D35">
        <w:rPr>
          <w:rFonts w:cs="Arial"/>
          <w:i/>
          <w:sz w:val="20"/>
          <w:szCs w:val="20"/>
        </w:rPr>
        <w:t>5 mg/dl</w:t>
      </w:r>
      <w:r w:rsidRPr="00C352B1">
        <w:rPr>
          <w:rFonts w:cs="Arial"/>
          <w:sz w:val="20"/>
          <w:szCs w:val="20"/>
        </w:rPr>
        <w:t>, son igualmente tributarios de consulta.</w:t>
      </w:r>
    </w:p>
    <w:p w:rsidR="00E81B3D" w:rsidRPr="00DA3051" w:rsidRDefault="00E81B3D" w:rsidP="001845AD">
      <w:pPr>
        <w:numPr>
          <w:ilvl w:val="0"/>
          <w:numId w:val="2"/>
        </w:numPr>
        <w:spacing w:before="120" w:after="120"/>
        <w:ind w:left="1276" w:hanging="283"/>
        <w:rPr>
          <w:rFonts w:cs="Arial"/>
          <w:b/>
          <w:sz w:val="20"/>
          <w:szCs w:val="20"/>
        </w:rPr>
      </w:pPr>
      <w:r w:rsidRPr="001E3ABD">
        <w:rPr>
          <w:rFonts w:cs="Arial"/>
          <w:b/>
          <w:sz w:val="20"/>
          <w:szCs w:val="20"/>
        </w:rPr>
        <w:t>Tratamiento</w:t>
      </w:r>
    </w:p>
    <w:p w:rsidR="00E81B3D" w:rsidRPr="00C352B1" w:rsidRDefault="00E81B3D" w:rsidP="001845AD">
      <w:pPr>
        <w:numPr>
          <w:ilvl w:val="0"/>
          <w:numId w:val="3"/>
        </w:numPr>
        <w:spacing w:before="120" w:after="120"/>
        <w:ind w:left="1560" w:hanging="284"/>
        <w:rPr>
          <w:rFonts w:cs="Arial"/>
          <w:sz w:val="20"/>
          <w:szCs w:val="20"/>
        </w:rPr>
      </w:pPr>
      <w:r w:rsidRPr="00C352B1">
        <w:rPr>
          <w:rFonts w:cs="Arial"/>
          <w:sz w:val="20"/>
          <w:szCs w:val="20"/>
        </w:rPr>
        <w:t>Dieta</w:t>
      </w:r>
    </w:p>
    <w:p w:rsidR="00E81B3D" w:rsidRPr="00C352B1" w:rsidRDefault="00E81B3D" w:rsidP="001845AD">
      <w:pPr>
        <w:numPr>
          <w:ilvl w:val="0"/>
          <w:numId w:val="3"/>
        </w:numPr>
        <w:spacing w:before="120" w:after="120"/>
        <w:ind w:left="1560" w:hanging="284"/>
        <w:rPr>
          <w:rFonts w:cs="Arial"/>
          <w:sz w:val="20"/>
          <w:szCs w:val="20"/>
        </w:rPr>
      </w:pPr>
      <w:r w:rsidRPr="00C352B1">
        <w:rPr>
          <w:rFonts w:cs="Arial"/>
          <w:sz w:val="20"/>
          <w:szCs w:val="20"/>
        </w:rPr>
        <w:t>Captores del fósforo</w:t>
      </w:r>
    </w:p>
    <w:p w:rsidR="00E81B3D" w:rsidRPr="00CF790B" w:rsidRDefault="00E81B3D" w:rsidP="001845AD">
      <w:pPr>
        <w:numPr>
          <w:ilvl w:val="0"/>
          <w:numId w:val="3"/>
        </w:numPr>
        <w:spacing w:before="120" w:after="120"/>
        <w:ind w:left="1560" w:hanging="284"/>
        <w:rPr>
          <w:rFonts w:cs="Arial"/>
          <w:sz w:val="20"/>
          <w:szCs w:val="20"/>
        </w:rPr>
      </w:pPr>
      <w:r w:rsidRPr="00CF790B">
        <w:rPr>
          <w:rFonts w:cs="Arial"/>
          <w:sz w:val="20"/>
          <w:szCs w:val="20"/>
        </w:rPr>
        <w:t>Vitamina D nativa y/o activa</w:t>
      </w:r>
    </w:p>
    <w:p w:rsidR="00E81B3D" w:rsidRPr="00CF790B" w:rsidRDefault="00E81B3D" w:rsidP="001845AD">
      <w:pPr>
        <w:numPr>
          <w:ilvl w:val="0"/>
          <w:numId w:val="3"/>
        </w:numPr>
        <w:spacing w:before="120" w:after="120"/>
        <w:ind w:left="1560" w:hanging="284"/>
        <w:rPr>
          <w:rFonts w:cs="Arial"/>
          <w:sz w:val="20"/>
          <w:szCs w:val="20"/>
        </w:rPr>
      </w:pPr>
      <w:r w:rsidRPr="00CF790B">
        <w:rPr>
          <w:rFonts w:cs="Arial"/>
          <w:sz w:val="20"/>
          <w:szCs w:val="20"/>
        </w:rPr>
        <w:t>Activación selectiva de los receptores de vitamina D RVD paricalcitol, maxacalcitol)</w:t>
      </w:r>
    </w:p>
    <w:p w:rsidR="00E81B3D" w:rsidRDefault="00E81B3D" w:rsidP="001845AD">
      <w:pPr>
        <w:numPr>
          <w:ilvl w:val="0"/>
          <w:numId w:val="3"/>
        </w:numPr>
        <w:spacing w:before="120" w:after="120"/>
        <w:ind w:left="1560" w:hanging="284"/>
        <w:rPr>
          <w:rFonts w:cs="Arial"/>
          <w:sz w:val="20"/>
          <w:szCs w:val="20"/>
        </w:rPr>
      </w:pPr>
      <w:r w:rsidRPr="00CF790B">
        <w:rPr>
          <w:rFonts w:cs="Arial"/>
          <w:sz w:val="20"/>
          <w:szCs w:val="20"/>
        </w:rPr>
        <w:lastRenderedPageBreak/>
        <w:t>Calcimiméticos (en hiperparatiroidismo primario o en hiperparatiroidismo secundario de</w:t>
      </w:r>
      <w:r w:rsidRPr="00C352B1">
        <w:rPr>
          <w:rFonts w:cs="Arial"/>
          <w:sz w:val="20"/>
          <w:szCs w:val="20"/>
        </w:rPr>
        <w:t xml:space="preserve"> pacientes en diálisis)</w:t>
      </w:r>
    </w:p>
    <w:p w:rsidR="00E81B3D" w:rsidRPr="00DA3051" w:rsidRDefault="00E81B3D" w:rsidP="001845AD">
      <w:pPr>
        <w:numPr>
          <w:ilvl w:val="0"/>
          <w:numId w:val="2"/>
        </w:numPr>
        <w:spacing w:before="120" w:after="120"/>
        <w:ind w:left="1276" w:hanging="283"/>
        <w:rPr>
          <w:rFonts w:cs="Arial"/>
          <w:b/>
          <w:sz w:val="20"/>
          <w:szCs w:val="20"/>
        </w:rPr>
      </w:pPr>
      <w:r w:rsidRPr="001E3ABD">
        <w:rPr>
          <w:rFonts w:cs="Arial"/>
          <w:b/>
          <w:sz w:val="20"/>
          <w:szCs w:val="20"/>
        </w:rPr>
        <w:t>Fármacos</w:t>
      </w:r>
      <w:r>
        <w:rPr>
          <w:rFonts w:cs="Arial"/>
          <w:b/>
          <w:sz w:val="20"/>
          <w:szCs w:val="20"/>
        </w:rPr>
        <w:t xml:space="preserve"> para un</w:t>
      </w:r>
      <w:r w:rsidRPr="001E3ABD">
        <w:rPr>
          <w:rFonts w:cs="Arial"/>
          <w:b/>
          <w:sz w:val="20"/>
          <w:szCs w:val="20"/>
        </w:rPr>
        <w:t xml:space="preserve"> adecuado mantenimiento del metabolismo mineral</w:t>
      </w:r>
    </w:p>
    <w:p w:rsidR="00E81B3D" w:rsidRPr="00C352B1" w:rsidRDefault="00E81B3D" w:rsidP="001845AD">
      <w:pPr>
        <w:spacing w:before="120" w:after="120"/>
        <w:ind w:left="1276"/>
        <w:rPr>
          <w:rFonts w:cs="Arial"/>
          <w:sz w:val="20"/>
          <w:szCs w:val="20"/>
        </w:rPr>
      </w:pPr>
      <w:r w:rsidRPr="001E3ABD">
        <w:rPr>
          <w:rFonts w:cs="Arial"/>
          <w:b/>
          <w:sz w:val="20"/>
          <w:szCs w:val="20"/>
        </w:rPr>
        <w:t>Captores del fósforo</w:t>
      </w:r>
      <w:r w:rsidRPr="001E3ABD">
        <w:rPr>
          <w:rFonts w:cs="Arial"/>
          <w:sz w:val="20"/>
          <w:szCs w:val="20"/>
        </w:rPr>
        <w:t>:</w:t>
      </w:r>
      <w:r>
        <w:rPr>
          <w:rFonts w:cs="Arial"/>
          <w:sz w:val="20"/>
          <w:szCs w:val="20"/>
        </w:rPr>
        <w:t xml:space="preserve"> </w:t>
      </w:r>
      <w:r w:rsidRPr="00C352B1">
        <w:rPr>
          <w:rFonts w:cs="Arial"/>
          <w:sz w:val="20"/>
          <w:szCs w:val="20"/>
        </w:rPr>
        <w:t>se administran con las comidas: carbonato cálcico, acetato cálcico, carbonato de Ca y Mg, sevelámer, carbonato de lantano. El hidróxido de aluminio es un excelente captor, pero no se recomienda en períodos prolongados, dado que puede inducir intoxicación alumínica en pacientes con ERC.</w:t>
      </w:r>
    </w:p>
    <w:p w:rsidR="00E81B3D" w:rsidRPr="001E3ABD" w:rsidRDefault="00E81B3D" w:rsidP="001845AD">
      <w:pPr>
        <w:numPr>
          <w:ilvl w:val="0"/>
          <w:numId w:val="3"/>
        </w:numPr>
        <w:spacing w:before="120" w:after="120"/>
        <w:ind w:left="1560" w:hanging="284"/>
        <w:rPr>
          <w:rFonts w:cs="Arial"/>
          <w:sz w:val="20"/>
          <w:szCs w:val="20"/>
        </w:rPr>
      </w:pPr>
      <w:r w:rsidRPr="001E3ABD">
        <w:rPr>
          <w:rFonts w:cs="Arial"/>
          <w:b/>
          <w:sz w:val="20"/>
          <w:szCs w:val="20"/>
        </w:rPr>
        <w:t>Carbonato càlcico</w:t>
      </w:r>
      <w:r w:rsidRPr="001E3ABD">
        <w:rPr>
          <w:rFonts w:cs="Arial"/>
          <w:sz w:val="20"/>
          <w:szCs w:val="20"/>
        </w:rPr>
        <w:t xml:space="preserve">: </w:t>
      </w:r>
      <w:r w:rsidRPr="001E3ABD">
        <w:rPr>
          <w:rFonts w:cs="Arial"/>
          <w:b/>
          <w:sz w:val="20"/>
          <w:szCs w:val="20"/>
        </w:rPr>
        <w:t>Caosina ®</w:t>
      </w:r>
      <w:r w:rsidRPr="001E3ABD">
        <w:rPr>
          <w:rFonts w:cs="Arial"/>
          <w:sz w:val="20"/>
          <w:szCs w:val="20"/>
        </w:rPr>
        <w:t xml:space="preserve"> sobres, </w:t>
      </w:r>
      <w:r w:rsidRPr="001E3ABD">
        <w:rPr>
          <w:rFonts w:cs="Arial"/>
          <w:b/>
          <w:sz w:val="20"/>
          <w:szCs w:val="20"/>
        </w:rPr>
        <w:t>Mastical ®</w:t>
      </w:r>
      <w:r w:rsidRPr="001E3ABD">
        <w:rPr>
          <w:rFonts w:cs="Arial"/>
          <w:sz w:val="20"/>
          <w:szCs w:val="20"/>
        </w:rPr>
        <w:t xml:space="preserve"> comp, </w:t>
      </w:r>
      <w:r w:rsidRPr="001E3ABD">
        <w:rPr>
          <w:rFonts w:cs="Arial"/>
          <w:b/>
          <w:sz w:val="20"/>
          <w:szCs w:val="20"/>
        </w:rPr>
        <w:t>Natecal ®</w:t>
      </w:r>
      <w:r w:rsidRPr="001E3ABD">
        <w:rPr>
          <w:rFonts w:cs="Arial"/>
          <w:sz w:val="20"/>
          <w:szCs w:val="20"/>
        </w:rPr>
        <w:t xml:space="preserve"> </w:t>
      </w:r>
      <w:r>
        <w:rPr>
          <w:rFonts w:cs="Arial"/>
          <w:sz w:val="20"/>
          <w:szCs w:val="20"/>
        </w:rPr>
        <w:t xml:space="preserve">comp. </w:t>
      </w:r>
      <w:r w:rsidRPr="001E3ABD">
        <w:rPr>
          <w:rFonts w:cs="Arial"/>
          <w:b/>
          <w:sz w:val="20"/>
          <w:szCs w:val="20"/>
        </w:rPr>
        <w:t>Fortical ®</w:t>
      </w:r>
      <w:r w:rsidRPr="001E3ABD">
        <w:rPr>
          <w:rFonts w:cs="Arial"/>
          <w:sz w:val="20"/>
          <w:szCs w:val="20"/>
        </w:rPr>
        <w:t xml:space="preserve"> comprimidos </w:t>
      </w:r>
      <w:r w:rsidRPr="001E3ABD">
        <w:rPr>
          <w:rFonts w:cs="Arial"/>
          <w:b/>
          <w:sz w:val="20"/>
          <w:szCs w:val="20"/>
        </w:rPr>
        <w:t>Densical ®</w:t>
      </w:r>
      <w:r w:rsidRPr="001E3ABD">
        <w:rPr>
          <w:rFonts w:cs="Arial"/>
          <w:sz w:val="20"/>
          <w:szCs w:val="20"/>
        </w:rPr>
        <w:t xml:space="preserve"> comprimidos masticables, etc. Algunos</w:t>
      </w:r>
      <w:r>
        <w:rPr>
          <w:rFonts w:cs="Arial"/>
          <w:sz w:val="20"/>
          <w:szCs w:val="20"/>
        </w:rPr>
        <w:t xml:space="preserve"> </w:t>
      </w:r>
      <w:r w:rsidRPr="001E3ABD">
        <w:rPr>
          <w:rFonts w:cs="Arial"/>
          <w:sz w:val="20"/>
          <w:szCs w:val="20"/>
        </w:rPr>
        <w:t>llevan asociada</w:t>
      </w:r>
      <w:r>
        <w:rPr>
          <w:rFonts w:cs="Arial"/>
          <w:sz w:val="20"/>
          <w:szCs w:val="20"/>
        </w:rPr>
        <w:t xml:space="preserve"> </w:t>
      </w:r>
      <w:r w:rsidRPr="001E3ABD">
        <w:rPr>
          <w:rFonts w:cs="Arial"/>
          <w:sz w:val="20"/>
          <w:szCs w:val="20"/>
        </w:rPr>
        <w:t>vitamina D nativa</w:t>
      </w:r>
      <w:r>
        <w:rPr>
          <w:rFonts w:cs="Arial"/>
          <w:sz w:val="20"/>
          <w:szCs w:val="20"/>
        </w:rPr>
        <w:t>.</w:t>
      </w:r>
    </w:p>
    <w:p w:rsidR="00E81B3D" w:rsidRPr="001E3ABD" w:rsidRDefault="00E81B3D" w:rsidP="001845AD">
      <w:pPr>
        <w:numPr>
          <w:ilvl w:val="0"/>
          <w:numId w:val="3"/>
        </w:numPr>
        <w:spacing w:before="120" w:after="120"/>
        <w:ind w:left="1560" w:hanging="284"/>
        <w:rPr>
          <w:rFonts w:cs="Arial"/>
          <w:sz w:val="20"/>
          <w:szCs w:val="20"/>
        </w:rPr>
      </w:pPr>
      <w:r>
        <w:rPr>
          <w:rFonts w:cs="Arial"/>
          <w:sz w:val="20"/>
          <w:szCs w:val="20"/>
        </w:rPr>
        <w:t>Acetato Cá</w:t>
      </w:r>
      <w:r w:rsidRPr="001E3ABD">
        <w:rPr>
          <w:rFonts w:cs="Arial"/>
          <w:sz w:val="20"/>
          <w:szCs w:val="20"/>
        </w:rPr>
        <w:t xml:space="preserve">lcico: </w:t>
      </w:r>
      <w:r w:rsidRPr="001E3ABD">
        <w:rPr>
          <w:rFonts w:cs="Arial"/>
          <w:b/>
          <w:sz w:val="20"/>
          <w:szCs w:val="20"/>
        </w:rPr>
        <w:t>Royen ®</w:t>
      </w:r>
      <w:r w:rsidRPr="001E3ABD">
        <w:rPr>
          <w:rFonts w:cs="Arial"/>
          <w:sz w:val="20"/>
          <w:szCs w:val="20"/>
        </w:rPr>
        <w:t xml:space="preserve"> (sobres i comprimidos que tienen diferente composición).</w:t>
      </w:r>
    </w:p>
    <w:p w:rsidR="00E81B3D" w:rsidRPr="00C352B1" w:rsidRDefault="00E81B3D" w:rsidP="009B0FA0">
      <w:pPr>
        <w:numPr>
          <w:ilvl w:val="0"/>
          <w:numId w:val="3"/>
        </w:numPr>
        <w:spacing w:before="120" w:after="120"/>
        <w:ind w:left="1560" w:hanging="284"/>
        <w:rPr>
          <w:rFonts w:cs="Arial"/>
          <w:sz w:val="20"/>
          <w:szCs w:val="20"/>
        </w:rPr>
      </w:pPr>
      <w:r w:rsidRPr="00C352B1">
        <w:rPr>
          <w:rFonts w:cs="Arial"/>
          <w:sz w:val="20"/>
          <w:szCs w:val="20"/>
        </w:rPr>
        <w:t xml:space="preserve">Sevelámer: </w:t>
      </w:r>
      <w:r w:rsidRPr="00BF7493">
        <w:rPr>
          <w:rFonts w:cs="Arial"/>
          <w:b/>
          <w:sz w:val="20"/>
          <w:szCs w:val="20"/>
        </w:rPr>
        <w:t xml:space="preserve">Renagel ® </w:t>
      </w:r>
      <w:r w:rsidRPr="00C352B1">
        <w:rPr>
          <w:rFonts w:cs="Arial"/>
          <w:b/>
          <w:sz w:val="20"/>
          <w:szCs w:val="20"/>
        </w:rPr>
        <w:t>comprimidos</w:t>
      </w:r>
      <w:r w:rsidRPr="00BF7493">
        <w:rPr>
          <w:rFonts w:cs="Arial"/>
          <w:b/>
          <w:sz w:val="20"/>
          <w:szCs w:val="20"/>
        </w:rPr>
        <w:t xml:space="preserve">, </w:t>
      </w:r>
      <w:r w:rsidRPr="00BF7493">
        <w:rPr>
          <w:rFonts w:cs="Arial"/>
          <w:sz w:val="20"/>
          <w:szCs w:val="20"/>
        </w:rPr>
        <w:t>indicado en pacientes en</w:t>
      </w:r>
      <w:r w:rsidRPr="001E3ABD">
        <w:rPr>
          <w:rFonts w:cs="Arial"/>
          <w:sz w:val="20"/>
          <w:szCs w:val="20"/>
        </w:rPr>
        <w:t xml:space="preserve"> diálisis. </w:t>
      </w:r>
      <w:r w:rsidRPr="001E3ABD">
        <w:rPr>
          <w:rFonts w:cs="Arial"/>
          <w:b/>
          <w:sz w:val="20"/>
          <w:szCs w:val="20"/>
        </w:rPr>
        <w:t>Renvela®</w:t>
      </w:r>
      <w:r w:rsidRPr="001E3ABD">
        <w:rPr>
          <w:rFonts w:cs="Arial"/>
          <w:sz w:val="20"/>
          <w:szCs w:val="20"/>
        </w:rPr>
        <w:t xml:space="preserve"> </w:t>
      </w:r>
      <w:r w:rsidRPr="00C352B1">
        <w:rPr>
          <w:rFonts w:cs="Arial"/>
          <w:b/>
          <w:sz w:val="20"/>
          <w:szCs w:val="20"/>
        </w:rPr>
        <w:t>sobres,</w:t>
      </w:r>
      <w:r w:rsidRPr="00004804">
        <w:rPr>
          <w:rFonts w:cs="Arial"/>
          <w:b/>
          <w:color w:val="FF0000"/>
          <w:sz w:val="20"/>
          <w:szCs w:val="20"/>
        </w:rPr>
        <w:t xml:space="preserve"> </w:t>
      </w:r>
      <w:r w:rsidRPr="00C352B1">
        <w:rPr>
          <w:rFonts w:cs="Arial"/>
          <w:sz w:val="20"/>
          <w:szCs w:val="20"/>
        </w:rPr>
        <w:t>puede administrarse prediálisis. No contiene calcio ni aluminio. Disminuye el LDL-c.</w:t>
      </w:r>
    </w:p>
    <w:p w:rsidR="00E81B3D" w:rsidRPr="001E3ABD" w:rsidRDefault="00E81B3D" w:rsidP="009B0FA0">
      <w:pPr>
        <w:numPr>
          <w:ilvl w:val="0"/>
          <w:numId w:val="3"/>
        </w:numPr>
        <w:spacing w:before="120" w:after="120"/>
        <w:ind w:left="1560" w:hanging="284"/>
        <w:rPr>
          <w:rFonts w:cs="Arial"/>
          <w:sz w:val="20"/>
          <w:szCs w:val="20"/>
        </w:rPr>
      </w:pPr>
      <w:r w:rsidRPr="001E3ABD">
        <w:rPr>
          <w:rFonts w:cs="Arial"/>
          <w:sz w:val="20"/>
          <w:szCs w:val="20"/>
        </w:rPr>
        <w:t>Carbonato de lantano (</w:t>
      </w:r>
      <w:r w:rsidRPr="001E3ABD">
        <w:rPr>
          <w:rFonts w:cs="Arial"/>
          <w:b/>
          <w:sz w:val="20"/>
          <w:szCs w:val="20"/>
        </w:rPr>
        <w:t>Fosrenol®</w:t>
      </w:r>
      <w:r w:rsidRPr="001E3ABD">
        <w:rPr>
          <w:rFonts w:cs="Arial"/>
          <w:sz w:val="20"/>
          <w:szCs w:val="20"/>
        </w:rPr>
        <w:t xml:space="preserve">): indicado en pacientes en diálisis, </w:t>
      </w:r>
      <w:r w:rsidRPr="00B426A2">
        <w:rPr>
          <w:rFonts w:cs="Arial"/>
          <w:sz w:val="20"/>
          <w:szCs w:val="20"/>
        </w:rPr>
        <w:t>pero también</w:t>
      </w:r>
      <w:r w:rsidRPr="001E3ABD">
        <w:rPr>
          <w:rFonts w:cs="Arial"/>
          <w:sz w:val="20"/>
          <w:szCs w:val="20"/>
        </w:rPr>
        <w:t xml:space="preserve"> puede darse</w:t>
      </w:r>
      <w:r>
        <w:rPr>
          <w:rFonts w:cs="Arial"/>
          <w:sz w:val="20"/>
          <w:szCs w:val="20"/>
        </w:rPr>
        <w:t xml:space="preserve"> prediá</w:t>
      </w:r>
      <w:r w:rsidRPr="001E3ABD">
        <w:rPr>
          <w:rFonts w:cs="Arial"/>
          <w:sz w:val="20"/>
          <w:szCs w:val="20"/>
        </w:rPr>
        <w:t>lisis. No contiene</w:t>
      </w:r>
      <w:r>
        <w:rPr>
          <w:rFonts w:cs="Arial"/>
          <w:sz w:val="20"/>
          <w:szCs w:val="20"/>
        </w:rPr>
        <w:t xml:space="preserve"> </w:t>
      </w:r>
      <w:r w:rsidRPr="001E3ABD">
        <w:rPr>
          <w:rFonts w:cs="Arial"/>
          <w:sz w:val="20"/>
          <w:szCs w:val="20"/>
        </w:rPr>
        <w:t>calcio</w:t>
      </w:r>
      <w:r>
        <w:rPr>
          <w:rFonts w:cs="Arial"/>
          <w:sz w:val="20"/>
          <w:szCs w:val="20"/>
        </w:rPr>
        <w:t xml:space="preserve"> </w:t>
      </w:r>
      <w:r w:rsidRPr="001E3ABD">
        <w:rPr>
          <w:rFonts w:cs="Arial"/>
          <w:sz w:val="20"/>
          <w:szCs w:val="20"/>
        </w:rPr>
        <w:t>ni aluminio.</w:t>
      </w:r>
    </w:p>
    <w:p w:rsidR="00E81B3D" w:rsidRPr="00BE2D6F" w:rsidRDefault="00E81B3D" w:rsidP="009B0FA0">
      <w:pPr>
        <w:numPr>
          <w:ilvl w:val="0"/>
          <w:numId w:val="3"/>
        </w:numPr>
        <w:spacing w:before="120" w:after="120"/>
        <w:ind w:left="1560" w:hanging="284"/>
        <w:rPr>
          <w:rFonts w:cs="Arial"/>
          <w:sz w:val="20"/>
          <w:szCs w:val="20"/>
          <w:lang w:val="pt-BR"/>
        </w:rPr>
      </w:pPr>
      <w:r w:rsidRPr="00BE2D6F">
        <w:rPr>
          <w:rFonts w:cs="Arial"/>
          <w:sz w:val="20"/>
          <w:szCs w:val="20"/>
          <w:lang w:val="pt-BR"/>
        </w:rPr>
        <w:t xml:space="preserve">Hidròxido de aluminio: </w:t>
      </w:r>
      <w:r w:rsidRPr="00BE2D6F">
        <w:rPr>
          <w:rFonts w:cs="Arial"/>
          <w:b/>
          <w:sz w:val="20"/>
          <w:szCs w:val="20"/>
          <w:lang w:val="pt-BR"/>
        </w:rPr>
        <w:t>Alugel ®, Pepsamar ®.</w:t>
      </w:r>
      <w:r>
        <w:rPr>
          <w:rFonts w:cs="Arial"/>
          <w:b/>
          <w:sz w:val="20"/>
          <w:szCs w:val="20"/>
          <w:lang w:val="pt-BR"/>
        </w:rPr>
        <w:t xml:space="preserve"> </w:t>
      </w:r>
      <w:r>
        <w:rPr>
          <w:rFonts w:cs="Arial"/>
          <w:sz w:val="20"/>
          <w:szCs w:val="20"/>
          <w:lang w:val="pt-BR"/>
        </w:rPr>
        <w:t xml:space="preserve">Retirados actualmente </w:t>
      </w:r>
      <w:r w:rsidRPr="00B426A2">
        <w:rPr>
          <w:rFonts w:cs="Arial"/>
          <w:sz w:val="20"/>
          <w:szCs w:val="20"/>
          <w:lang w:val="pt-BR"/>
        </w:rPr>
        <w:t>el mercado.</w:t>
      </w:r>
    </w:p>
    <w:p w:rsidR="00E81B3D" w:rsidRPr="009B0FA0" w:rsidRDefault="00E81B3D" w:rsidP="009B0FA0">
      <w:pPr>
        <w:numPr>
          <w:ilvl w:val="0"/>
          <w:numId w:val="3"/>
        </w:numPr>
        <w:spacing w:before="120" w:after="120"/>
        <w:ind w:left="1560" w:hanging="284"/>
        <w:rPr>
          <w:rFonts w:cs="Arial"/>
          <w:sz w:val="20"/>
          <w:szCs w:val="20"/>
        </w:rPr>
      </w:pPr>
      <w:r w:rsidRPr="001E3ABD">
        <w:rPr>
          <w:rFonts w:cs="Arial"/>
          <w:b/>
          <w:sz w:val="20"/>
          <w:szCs w:val="20"/>
        </w:rPr>
        <w:t>Osvaren ®</w:t>
      </w:r>
      <w:r w:rsidRPr="001E3ABD">
        <w:rPr>
          <w:rFonts w:cs="Arial"/>
          <w:sz w:val="20"/>
          <w:szCs w:val="20"/>
        </w:rPr>
        <w:t xml:space="preserve"> contiene Ca y Mg.</w:t>
      </w:r>
    </w:p>
    <w:p w:rsidR="00E81B3D" w:rsidRDefault="00E81B3D" w:rsidP="001845AD">
      <w:pPr>
        <w:spacing w:before="120" w:after="120"/>
        <w:ind w:left="1276"/>
        <w:rPr>
          <w:rFonts w:cs="Arial"/>
          <w:b/>
          <w:sz w:val="20"/>
          <w:szCs w:val="20"/>
        </w:rPr>
      </w:pPr>
    </w:p>
    <w:p w:rsidR="00E81B3D" w:rsidRDefault="00E81B3D" w:rsidP="001845AD">
      <w:pPr>
        <w:spacing w:before="120" w:after="120"/>
        <w:ind w:left="1276"/>
        <w:rPr>
          <w:rFonts w:cs="Arial"/>
          <w:sz w:val="20"/>
          <w:szCs w:val="20"/>
        </w:rPr>
      </w:pPr>
      <w:r w:rsidRPr="001E3ABD">
        <w:rPr>
          <w:rFonts w:cs="Arial"/>
          <w:b/>
          <w:sz w:val="20"/>
          <w:szCs w:val="20"/>
        </w:rPr>
        <w:t>Tratamiento del déficit de vitamina D</w:t>
      </w:r>
    </w:p>
    <w:p w:rsidR="00E81B3D" w:rsidRPr="00B426A2" w:rsidRDefault="00E81B3D" w:rsidP="009B0FA0">
      <w:pPr>
        <w:numPr>
          <w:ilvl w:val="0"/>
          <w:numId w:val="3"/>
        </w:numPr>
        <w:spacing w:before="120" w:after="120"/>
        <w:ind w:left="1560" w:hanging="284"/>
        <w:rPr>
          <w:rFonts w:cs="Arial"/>
          <w:sz w:val="20"/>
          <w:szCs w:val="20"/>
        </w:rPr>
      </w:pPr>
      <w:r w:rsidRPr="00B426A2">
        <w:rPr>
          <w:rFonts w:cs="Arial"/>
          <w:b/>
          <w:sz w:val="20"/>
          <w:szCs w:val="20"/>
        </w:rPr>
        <w:t>Vitamina D</w:t>
      </w:r>
      <w:r w:rsidRPr="00B426A2">
        <w:rPr>
          <w:rFonts w:cs="Arial"/>
          <w:b/>
          <w:sz w:val="20"/>
          <w:szCs w:val="20"/>
          <w:vertAlign w:val="subscript"/>
        </w:rPr>
        <w:t>3</w:t>
      </w:r>
      <w:r w:rsidRPr="00B426A2">
        <w:rPr>
          <w:rFonts w:cs="Arial"/>
          <w:b/>
          <w:sz w:val="20"/>
          <w:szCs w:val="20"/>
        </w:rPr>
        <w:t xml:space="preserve"> Belenguer ®</w:t>
      </w:r>
      <w:r w:rsidRPr="00B426A2">
        <w:rPr>
          <w:rFonts w:cs="Arial"/>
          <w:sz w:val="20"/>
          <w:szCs w:val="20"/>
        </w:rPr>
        <w:t xml:space="preserve"> (Colecalciferol; 800 UI = 12 gotas, 50.000 UI = 25 ml), </w:t>
      </w:r>
      <w:r w:rsidRPr="00B426A2">
        <w:rPr>
          <w:rFonts w:cs="Arial"/>
          <w:b/>
          <w:sz w:val="20"/>
          <w:szCs w:val="20"/>
        </w:rPr>
        <w:t>Vitamina D</w:t>
      </w:r>
      <w:r w:rsidRPr="00B426A2">
        <w:rPr>
          <w:rFonts w:cs="Arial"/>
          <w:b/>
          <w:sz w:val="20"/>
          <w:szCs w:val="20"/>
          <w:vertAlign w:val="subscript"/>
        </w:rPr>
        <w:t>3</w:t>
      </w:r>
      <w:r>
        <w:rPr>
          <w:rFonts w:cs="Arial"/>
          <w:b/>
          <w:sz w:val="20"/>
          <w:szCs w:val="20"/>
        </w:rPr>
        <w:t xml:space="preserve"> </w:t>
      </w:r>
      <w:r w:rsidRPr="00B426A2">
        <w:rPr>
          <w:rFonts w:cs="Arial"/>
          <w:b/>
          <w:sz w:val="20"/>
          <w:szCs w:val="20"/>
        </w:rPr>
        <w:t>Kern ® (Colecalciferol; 800 UI ≈ 12 gotas, 20.000 UI = 10 ml)</w:t>
      </w:r>
    </w:p>
    <w:p w:rsidR="00E81B3D" w:rsidRPr="00791A0D" w:rsidRDefault="00E81B3D" w:rsidP="009B0FA0">
      <w:pPr>
        <w:numPr>
          <w:ilvl w:val="0"/>
          <w:numId w:val="3"/>
        </w:numPr>
        <w:spacing w:before="120" w:after="120"/>
        <w:ind w:left="1560" w:hanging="284"/>
        <w:rPr>
          <w:rFonts w:cs="Arial"/>
          <w:sz w:val="20"/>
          <w:szCs w:val="20"/>
          <w:lang w:val="it-IT"/>
        </w:rPr>
      </w:pPr>
      <w:r w:rsidRPr="008B1435">
        <w:rPr>
          <w:rFonts w:cs="Arial"/>
          <w:b/>
          <w:sz w:val="20"/>
          <w:szCs w:val="20"/>
          <w:lang w:val="it-IT"/>
        </w:rPr>
        <w:t>Hidroferol</w:t>
      </w:r>
      <w:r w:rsidRPr="008B1435">
        <w:rPr>
          <w:rFonts w:cs="Arial"/>
          <w:sz w:val="20"/>
          <w:szCs w:val="20"/>
          <w:lang w:val="it-IT"/>
        </w:rPr>
        <w:t xml:space="preserve"> </w:t>
      </w:r>
      <w:r w:rsidRPr="008B1435">
        <w:rPr>
          <w:rFonts w:cs="Arial"/>
          <w:b/>
          <w:sz w:val="20"/>
          <w:szCs w:val="20"/>
          <w:lang w:val="it-IT"/>
        </w:rPr>
        <w:t>0,266</w:t>
      </w:r>
      <w:r w:rsidRPr="008B1435">
        <w:rPr>
          <w:rFonts w:cs="Arial"/>
          <w:sz w:val="20"/>
          <w:szCs w:val="20"/>
          <w:lang w:val="it-IT"/>
        </w:rPr>
        <w:t xml:space="preserve">  ® (Calcifediol o calcidiol 16.000 UI).</w:t>
      </w:r>
    </w:p>
    <w:p w:rsidR="00E81B3D" w:rsidRPr="00B426A2" w:rsidRDefault="00E81B3D" w:rsidP="009B0FA0">
      <w:pPr>
        <w:spacing w:before="120" w:after="120"/>
        <w:ind w:left="1276"/>
        <w:jc w:val="left"/>
        <w:rPr>
          <w:rFonts w:cs="Arial"/>
          <w:sz w:val="20"/>
          <w:szCs w:val="20"/>
        </w:rPr>
      </w:pPr>
      <w:r w:rsidRPr="00B426A2">
        <w:rPr>
          <w:rFonts w:cs="Arial"/>
          <w:sz w:val="20"/>
          <w:szCs w:val="20"/>
        </w:rPr>
        <w:t>Se utilizan para la corrección del déficit de vitamina D nativa. La dosificación de Hidroferol 0,266 ® en ampollas quincenales o mensuales tiene como objetivo normalizar los niveles de calcidiol (20-30 ng/ml) independientemente o no de disminuir la PTH. Es obligatorio medir el Ca y P para su control por la no  infrecuente inducción de hipercalcemia bajo este tipo de tratamiento.</w:t>
      </w:r>
    </w:p>
    <w:p w:rsidR="00E81B3D" w:rsidRDefault="00E81B3D" w:rsidP="00E953A0">
      <w:pPr>
        <w:spacing w:before="120" w:after="120"/>
        <w:ind w:left="1276"/>
        <w:rPr>
          <w:rFonts w:cs="Arial"/>
          <w:sz w:val="20"/>
          <w:szCs w:val="20"/>
          <w:highlight w:val="lightGray"/>
        </w:rPr>
      </w:pPr>
      <w:r w:rsidRPr="009E1014">
        <w:rPr>
          <w:rFonts w:cs="Arial"/>
          <w:b/>
          <w:sz w:val="20"/>
          <w:szCs w:val="20"/>
        </w:rPr>
        <w:t xml:space="preserve">Tratamiento del hiperparatiroidismo secundario (HPTS) </w:t>
      </w:r>
      <w:r w:rsidRPr="00470998">
        <w:rPr>
          <w:rFonts w:cs="Arial"/>
          <w:sz w:val="20"/>
          <w:szCs w:val="20"/>
        </w:rPr>
        <w:t>(Se incluyen nombres comerciales sólo a modo de información para los no familiarizados con el tema)</w:t>
      </w:r>
    </w:p>
    <w:p w:rsidR="00E81B3D" w:rsidRDefault="00E81B3D" w:rsidP="001845AD">
      <w:pPr>
        <w:numPr>
          <w:ilvl w:val="0"/>
          <w:numId w:val="4"/>
        </w:numPr>
        <w:spacing w:before="120" w:after="120"/>
        <w:rPr>
          <w:rFonts w:cs="Arial"/>
          <w:sz w:val="20"/>
          <w:szCs w:val="20"/>
        </w:rPr>
      </w:pPr>
      <w:r>
        <w:rPr>
          <w:rFonts w:cs="Arial"/>
          <w:sz w:val="20"/>
          <w:szCs w:val="20"/>
        </w:rPr>
        <w:t xml:space="preserve">Calcitriol </w:t>
      </w:r>
      <w:r w:rsidRPr="009E1014">
        <w:rPr>
          <w:rFonts w:cs="Arial"/>
          <w:sz w:val="20"/>
          <w:szCs w:val="20"/>
        </w:rPr>
        <w:t>y análogos de la vitamina D</w:t>
      </w:r>
    </w:p>
    <w:p w:rsidR="00E81B3D" w:rsidRPr="00554514" w:rsidRDefault="00E81B3D" w:rsidP="001845AD">
      <w:pPr>
        <w:spacing w:before="120" w:after="120"/>
        <w:ind w:left="1713"/>
        <w:rPr>
          <w:rFonts w:cs="Arial"/>
          <w:sz w:val="20"/>
          <w:szCs w:val="20"/>
        </w:rPr>
      </w:pPr>
      <w:r w:rsidRPr="009E1014">
        <w:rPr>
          <w:rFonts w:cs="Arial"/>
          <w:sz w:val="20"/>
          <w:szCs w:val="20"/>
        </w:rPr>
        <w:t>No necesitan hidroxilación renal para obtener la forma activa. Son los clásicos derivados de la vitamina D de elección en ERC con HPTS</w:t>
      </w:r>
      <w:r>
        <w:rPr>
          <w:rFonts w:cs="Arial"/>
          <w:sz w:val="20"/>
          <w:szCs w:val="20"/>
        </w:rPr>
        <w:t>.</w:t>
      </w:r>
    </w:p>
    <w:p w:rsidR="00E81B3D" w:rsidRDefault="00E81B3D" w:rsidP="001845AD">
      <w:pPr>
        <w:spacing w:before="120" w:after="120"/>
        <w:ind w:left="1713"/>
        <w:rPr>
          <w:rFonts w:cs="Arial"/>
          <w:sz w:val="20"/>
          <w:szCs w:val="20"/>
        </w:rPr>
      </w:pPr>
      <w:r w:rsidRPr="009E1014">
        <w:rPr>
          <w:rFonts w:cs="Arial"/>
          <w:b/>
          <w:sz w:val="20"/>
          <w:szCs w:val="20"/>
        </w:rPr>
        <w:t>Rocaltrol®</w:t>
      </w:r>
      <w:r w:rsidRPr="009E1014">
        <w:rPr>
          <w:rFonts w:cs="Arial"/>
          <w:sz w:val="20"/>
          <w:szCs w:val="20"/>
        </w:rPr>
        <w:t xml:space="preserve"> (calcitriol; 1,25-(OH)2-D3). la forma endovenosa es Calcijex®</w:t>
      </w:r>
      <w:r>
        <w:rPr>
          <w:rFonts w:cs="Arial"/>
          <w:sz w:val="20"/>
          <w:szCs w:val="20"/>
        </w:rPr>
        <w:t>.</w:t>
      </w:r>
    </w:p>
    <w:p w:rsidR="00E81B3D" w:rsidRPr="009E1014" w:rsidRDefault="00E81B3D" w:rsidP="001845AD">
      <w:pPr>
        <w:spacing w:before="120" w:after="120"/>
        <w:ind w:left="1713"/>
        <w:rPr>
          <w:rFonts w:cs="Arial"/>
          <w:sz w:val="20"/>
          <w:szCs w:val="20"/>
        </w:rPr>
      </w:pPr>
      <w:r w:rsidRPr="009E1014">
        <w:rPr>
          <w:rFonts w:cs="Arial"/>
          <w:b/>
          <w:sz w:val="20"/>
          <w:szCs w:val="20"/>
        </w:rPr>
        <w:t>Etalpha®</w:t>
      </w:r>
      <w:r w:rsidRPr="009E1014">
        <w:rPr>
          <w:rFonts w:cs="Arial"/>
          <w:sz w:val="20"/>
          <w:szCs w:val="20"/>
        </w:rPr>
        <w:t xml:space="preserve"> (alfacalcidol; 1α-(OH)-D3): Gotas (v.o.) o ampollas (i.v.). Requieren activación hepática. Recientemente se ha comercializado en comprimidos</w:t>
      </w:r>
      <w:r>
        <w:rPr>
          <w:rFonts w:cs="Arial"/>
          <w:sz w:val="20"/>
          <w:szCs w:val="20"/>
        </w:rPr>
        <w:t>.</w:t>
      </w:r>
    </w:p>
    <w:p w:rsidR="00E81B3D" w:rsidRPr="00B426A2" w:rsidRDefault="00E81B3D" w:rsidP="0091669B">
      <w:pPr>
        <w:numPr>
          <w:ilvl w:val="0"/>
          <w:numId w:val="4"/>
        </w:numPr>
        <w:spacing w:before="120" w:after="120"/>
        <w:rPr>
          <w:rFonts w:cs="Arial"/>
          <w:sz w:val="20"/>
          <w:szCs w:val="20"/>
        </w:rPr>
      </w:pPr>
      <w:r w:rsidRPr="009E1014">
        <w:rPr>
          <w:rFonts w:cs="Arial"/>
          <w:sz w:val="20"/>
          <w:szCs w:val="20"/>
        </w:rPr>
        <w:t>Activadores selectivos del receptor de la vitamina D</w:t>
      </w:r>
      <w:r w:rsidRPr="0091669B">
        <w:rPr>
          <w:rFonts w:cs="Arial"/>
          <w:color w:val="FF0000"/>
          <w:sz w:val="20"/>
          <w:szCs w:val="20"/>
        </w:rPr>
        <w:t>:</w:t>
      </w:r>
      <w:r>
        <w:rPr>
          <w:rFonts w:cs="Arial"/>
          <w:sz w:val="20"/>
          <w:szCs w:val="20"/>
        </w:rPr>
        <w:t xml:space="preserve"> </w:t>
      </w:r>
      <w:r>
        <w:rPr>
          <w:rFonts w:cs="Arial"/>
          <w:b/>
          <w:sz w:val="20"/>
          <w:szCs w:val="20"/>
        </w:rPr>
        <w:t>Zemplar</w:t>
      </w:r>
      <w:r w:rsidRPr="009E1014">
        <w:rPr>
          <w:rFonts w:cs="Arial"/>
          <w:b/>
          <w:sz w:val="20"/>
          <w:szCs w:val="20"/>
        </w:rPr>
        <w:t>®</w:t>
      </w:r>
      <w:r w:rsidRPr="009E1014">
        <w:rPr>
          <w:rFonts w:cs="Arial"/>
          <w:sz w:val="20"/>
          <w:szCs w:val="20"/>
        </w:rPr>
        <w:t xml:space="preserve"> (</w:t>
      </w:r>
      <w:r w:rsidRPr="00B426A2">
        <w:rPr>
          <w:rFonts w:cs="Arial"/>
          <w:sz w:val="20"/>
          <w:szCs w:val="20"/>
        </w:rPr>
        <w:t>paricalcitol: via oral o endovenosa). Ofrece menor tendencia a la hipercalcemia, hiperfosfatemia y parece inducir menos calcificaciones vasculares. Cápsulas de 1</w:t>
      </w:r>
      <w:r w:rsidRPr="00B426A2">
        <w:rPr>
          <w:rFonts w:cs="Arial"/>
          <w:sz w:val="20"/>
          <w:szCs w:val="20"/>
        </w:rPr>
        <w:sym w:font="Symbol" w:char="F06D"/>
      </w:r>
      <w:r w:rsidRPr="00B426A2">
        <w:rPr>
          <w:rFonts w:cs="Arial"/>
          <w:sz w:val="20"/>
          <w:szCs w:val="20"/>
        </w:rPr>
        <w:t>g.</w:t>
      </w:r>
    </w:p>
    <w:p w:rsidR="00E81B3D" w:rsidRPr="001E3ABD" w:rsidRDefault="00E81B3D" w:rsidP="0091669B">
      <w:pPr>
        <w:numPr>
          <w:ilvl w:val="0"/>
          <w:numId w:val="4"/>
        </w:numPr>
        <w:spacing w:before="120" w:after="120"/>
        <w:rPr>
          <w:rFonts w:cs="Arial"/>
          <w:sz w:val="20"/>
          <w:szCs w:val="20"/>
        </w:rPr>
      </w:pPr>
      <w:r w:rsidRPr="00B426A2">
        <w:rPr>
          <w:rFonts w:cs="Arial"/>
          <w:sz w:val="20"/>
          <w:szCs w:val="20"/>
        </w:rPr>
        <w:t>Calcimiméticos</w:t>
      </w:r>
      <w:r w:rsidRPr="0091669B">
        <w:rPr>
          <w:rFonts w:cs="Arial"/>
          <w:color w:val="FF0000"/>
          <w:sz w:val="20"/>
          <w:szCs w:val="20"/>
        </w:rPr>
        <w:t xml:space="preserve">: </w:t>
      </w:r>
      <w:r w:rsidRPr="009E1014">
        <w:rPr>
          <w:rFonts w:cs="Arial"/>
          <w:sz w:val="20"/>
          <w:szCs w:val="20"/>
        </w:rPr>
        <w:t xml:space="preserve">Frenan directamente la PTH sin inducir hipercalcemia ni hiperfosfatemia y con frecuencia pueden inducir hipocalcemia, generalmente asintomática. Están indicados </w:t>
      </w:r>
      <w:r>
        <w:rPr>
          <w:rFonts w:cs="Arial"/>
          <w:sz w:val="20"/>
          <w:szCs w:val="20"/>
        </w:rPr>
        <w:t xml:space="preserve">en el tratamiento del HPTS en </w:t>
      </w:r>
      <w:r w:rsidRPr="009E1014">
        <w:rPr>
          <w:rFonts w:cs="Arial"/>
          <w:sz w:val="20"/>
          <w:szCs w:val="20"/>
        </w:rPr>
        <w:t>diálisis</w:t>
      </w:r>
      <w:r>
        <w:rPr>
          <w:rFonts w:cs="Arial"/>
          <w:sz w:val="20"/>
          <w:szCs w:val="20"/>
        </w:rPr>
        <w:t>.</w:t>
      </w:r>
    </w:p>
    <w:p w:rsidR="00E81B3D" w:rsidRPr="00B426A2" w:rsidRDefault="00E81B3D" w:rsidP="009B0FA0">
      <w:pPr>
        <w:spacing w:before="120" w:after="120"/>
        <w:ind w:left="1713"/>
        <w:rPr>
          <w:rFonts w:cs="Arial"/>
          <w:sz w:val="20"/>
          <w:szCs w:val="20"/>
        </w:rPr>
      </w:pPr>
      <w:bookmarkStart w:id="74" w:name="_Toc316486478"/>
      <w:bookmarkStart w:id="75" w:name="_Toc316486577"/>
      <w:r>
        <w:rPr>
          <w:rFonts w:cs="Arial"/>
          <w:b/>
          <w:sz w:val="20"/>
          <w:szCs w:val="20"/>
        </w:rPr>
        <w:t>Mimpara</w:t>
      </w:r>
      <w:r w:rsidRPr="009E1014">
        <w:rPr>
          <w:rFonts w:cs="Arial"/>
          <w:b/>
          <w:sz w:val="20"/>
          <w:szCs w:val="20"/>
        </w:rPr>
        <w:t>®</w:t>
      </w:r>
      <w:r w:rsidRPr="009E1014">
        <w:rPr>
          <w:rFonts w:cs="Arial"/>
          <w:sz w:val="20"/>
          <w:szCs w:val="20"/>
        </w:rPr>
        <w:t xml:space="preserve"> (</w:t>
      </w:r>
      <w:r w:rsidRPr="00B426A2">
        <w:rPr>
          <w:rFonts w:cs="Arial"/>
          <w:sz w:val="20"/>
          <w:szCs w:val="20"/>
        </w:rPr>
        <w:t>Cinacalcet) La administración está indicada en diálisis y también en el hiperparatiroidismo primario. Igualmente puede ser necesario cuando se mantiene el hiperparatiroidismo  posterior al trasplante renal (hiperparatiroidismo terciario), al igual que los anteriormente citados.</w:t>
      </w:r>
    </w:p>
    <w:p w:rsidR="00E81B3D" w:rsidRPr="00D13209" w:rsidRDefault="00E81B3D" w:rsidP="009B0FA0">
      <w:pPr>
        <w:spacing w:before="120" w:after="120"/>
        <w:ind w:left="1713"/>
        <w:rPr>
          <w:rFonts w:cs="Arial"/>
          <w:sz w:val="20"/>
          <w:szCs w:val="20"/>
        </w:rPr>
      </w:pPr>
    </w:p>
    <w:p w:rsidR="00E81B3D" w:rsidRPr="00215D7C" w:rsidRDefault="00E81B3D" w:rsidP="00364E7B">
      <w:pPr>
        <w:pStyle w:val="Ttulo2"/>
        <w:ind w:left="993" w:hanging="426"/>
        <w:rPr>
          <w:rFonts w:ascii="Arial" w:hAnsi="Arial" w:cs="Arial"/>
          <w:i w:val="0"/>
          <w:sz w:val="20"/>
          <w:szCs w:val="20"/>
        </w:rPr>
      </w:pPr>
      <w:bookmarkStart w:id="76" w:name="_Toc341725538"/>
      <w:r w:rsidRPr="00215D7C">
        <w:rPr>
          <w:rFonts w:ascii="Arial" w:hAnsi="Arial" w:cs="Arial"/>
          <w:i w:val="0"/>
          <w:sz w:val="20"/>
          <w:szCs w:val="20"/>
        </w:rPr>
        <w:lastRenderedPageBreak/>
        <w:t>Detección y tratamiento de la acidosis.</w:t>
      </w:r>
      <w:bookmarkEnd w:id="74"/>
      <w:bookmarkEnd w:id="75"/>
      <w:bookmarkEnd w:id="76"/>
    </w:p>
    <w:p w:rsidR="00E81B3D" w:rsidRPr="00B426A2" w:rsidRDefault="00E81B3D" w:rsidP="001845AD">
      <w:pPr>
        <w:spacing w:before="120" w:after="120"/>
        <w:ind w:left="993"/>
        <w:rPr>
          <w:rFonts w:cs="Arial"/>
          <w:sz w:val="20"/>
          <w:szCs w:val="20"/>
        </w:rPr>
      </w:pPr>
      <w:r w:rsidRPr="00F2432A">
        <w:rPr>
          <w:rFonts w:cs="Arial"/>
          <w:sz w:val="20"/>
          <w:szCs w:val="20"/>
        </w:rPr>
        <w:t>La acidosis</w:t>
      </w:r>
      <w:r>
        <w:rPr>
          <w:rFonts w:cs="Arial"/>
          <w:sz w:val="20"/>
          <w:szCs w:val="20"/>
        </w:rPr>
        <w:t xml:space="preserve"> </w:t>
      </w:r>
      <w:r w:rsidRPr="00F2432A">
        <w:rPr>
          <w:rFonts w:cs="Arial"/>
          <w:sz w:val="20"/>
          <w:szCs w:val="20"/>
        </w:rPr>
        <w:t>metabólica es frecuente</w:t>
      </w:r>
      <w:r>
        <w:rPr>
          <w:rFonts w:cs="Arial"/>
          <w:sz w:val="20"/>
          <w:szCs w:val="20"/>
        </w:rPr>
        <w:t xml:space="preserve"> </w:t>
      </w:r>
      <w:r w:rsidRPr="00F2432A">
        <w:rPr>
          <w:rFonts w:cs="Arial"/>
          <w:sz w:val="20"/>
          <w:szCs w:val="20"/>
        </w:rPr>
        <w:t xml:space="preserve">en la ERC avanzada. Deben mantenerse </w:t>
      </w:r>
      <w:r>
        <w:rPr>
          <w:rFonts w:cs="Arial"/>
          <w:sz w:val="20"/>
          <w:szCs w:val="20"/>
        </w:rPr>
        <w:t>concentraciones</w:t>
      </w:r>
      <w:r w:rsidRPr="00F2432A">
        <w:rPr>
          <w:rFonts w:cs="Arial"/>
          <w:sz w:val="20"/>
          <w:szCs w:val="20"/>
        </w:rPr>
        <w:t xml:space="preserve"> de bicarbonato venoso &gt;20 mmol/l. Administraremos</w:t>
      </w:r>
      <w:r>
        <w:rPr>
          <w:rFonts w:cs="Arial"/>
          <w:sz w:val="20"/>
          <w:szCs w:val="20"/>
        </w:rPr>
        <w:t xml:space="preserve"> </w:t>
      </w:r>
      <w:r w:rsidRPr="00B426A2">
        <w:rPr>
          <w:rFonts w:cs="Arial"/>
          <w:sz w:val="20"/>
          <w:szCs w:val="20"/>
        </w:rPr>
        <w:t>suplementos de bicarbonato oral 1,5-3 g/día. Hay que vigilar la sobrecarga de volumen debido al aporte de sodio, en función de la dosis administrada.</w:t>
      </w:r>
    </w:p>
    <w:p w:rsidR="00E81B3D" w:rsidRPr="00B426A2" w:rsidRDefault="00E81B3D" w:rsidP="001845AD">
      <w:pPr>
        <w:spacing w:before="120" w:after="120"/>
        <w:ind w:left="993"/>
        <w:rPr>
          <w:rFonts w:cs="Arial"/>
          <w:sz w:val="20"/>
          <w:szCs w:val="20"/>
        </w:rPr>
      </w:pPr>
      <w:r w:rsidRPr="00B426A2">
        <w:rPr>
          <w:rFonts w:cs="Arial"/>
          <w:sz w:val="20"/>
          <w:szCs w:val="20"/>
        </w:rPr>
        <w:t>Una situación de acidosis metabólica no compensada con bicarbonato venoso &lt;15 mmol/l requerirá tratamiento por vía endovenosa en ámbito hospitalari</w:t>
      </w:r>
      <w:r>
        <w:rPr>
          <w:rFonts w:cs="Arial"/>
          <w:sz w:val="20"/>
          <w:szCs w:val="20"/>
        </w:rPr>
        <w:t>o.</w:t>
      </w:r>
      <w:r>
        <w:rPr>
          <w:rStyle w:val="Refdenotaalfinal"/>
          <w:sz w:val="20"/>
          <w:szCs w:val="20"/>
        </w:rPr>
        <w:endnoteReference w:id="161"/>
      </w:r>
    </w:p>
    <w:p w:rsidR="00E81B3D" w:rsidRPr="00B426A2" w:rsidRDefault="00E81B3D" w:rsidP="001845AD">
      <w:pPr>
        <w:spacing w:before="120" w:after="120"/>
        <w:ind w:left="993"/>
        <w:rPr>
          <w:rFonts w:cs="Arial"/>
          <w:sz w:val="20"/>
          <w:szCs w:val="20"/>
        </w:rPr>
      </w:pPr>
      <w:r>
        <w:rPr>
          <w:rFonts w:cs="Arial"/>
          <w:sz w:val="20"/>
          <w:szCs w:val="20"/>
        </w:rPr>
        <w:t xml:space="preserve">           </w:t>
      </w:r>
    </w:p>
    <w:p w:rsidR="00E81B3D" w:rsidRPr="00215D7C" w:rsidRDefault="00E81B3D" w:rsidP="0046272A">
      <w:pPr>
        <w:pStyle w:val="Ttulo2"/>
        <w:ind w:left="993" w:hanging="426"/>
        <w:rPr>
          <w:rFonts w:ascii="Arial" w:hAnsi="Arial" w:cs="Arial"/>
          <w:i w:val="0"/>
          <w:sz w:val="20"/>
          <w:szCs w:val="20"/>
        </w:rPr>
      </w:pPr>
      <w:bookmarkStart w:id="77" w:name="_Toc341725539"/>
      <w:r w:rsidRPr="00215D7C">
        <w:rPr>
          <w:rFonts w:ascii="Arial" w:hAnsi="Arial" w:cs="Arial"/>
          <w:i w:val="0"/>
          <w:sz w:val="20"/>
          <w:szCs w:val="20"/>
        </w:rPr>
        <w:t>Recomendaciones dietéticas en el paciente con ERC 3-5.</w:t>
      </w:r>
      <w:bookmarkEnd w:id="72"/>
      <w:bookmarkEnd w:id="73"/>
      <w:bookmarkEnd w:id="77"/>
    </w:p>
    <w:p w:rsidR="00E81B3D" w:rsidRPr="00F2432A" w:rsidRDefault="00E81B3D" w:rsidP="001845AD">
      <w:pPr>
        <w:spacing w:before="120" w:after="120"/>
        <w:ind w:left="993"/>
        <w:rPr>
          <w:rFonts w:cs="Arial"/>
          <w:sz w:val="20"/>
          <w:szCs w:val="20"/>
        </w:rPr>
      </w:pPr>
      <w:r w:rsidRPr="00F2432A">
        <w:rPr>
          <w:rFonts w:cs="Arial"/>
          <w:b/>
          <w:sz w:val="20"/>
          <w:szCs w:val="20"/>
        </w:rPr>
        <w:t>En el paciente con ERC es preciso revisar hábitos dietéticos</w:t>
      </w:r>
      <w:r w:rsidRPr="00F2432A">
        <w:rPr>
          <w:rFonts w:cs="Arial"/>
          <w:sz w:val="20"/>
          <w:szCs w:val="20"/>
        </w:rPr>
        <w:t xml:space="preserve">, orientando al paciente sobre la necesidad de controlar el peso en todos los casos y sobre el tipo de dieta a seguir en función del FG: </w:t>
      </w:r>
    </w:p>
    <w:p w:rsidR="00E81B3D" w:rsidRPr="00445FDC" w:rsidRDefault="00E81B3D" w:rsidP="001845AD">
      <w:pPr>
        <w:numPr>
          <w:ilvl w:val="0"/>
          <w:numId w:val="3"/>
        </w:numPr>
        <w:spacing w:before="120" w:after="120"/>
        <w:ind w:left="1560" w:hanging="284"/>
        <w:rPr>
          <w:rFonts w:cs="Arial"/>
          <w:sz w:val="20"/>
          <w:szCs w:val="20"/>
        </w:rPr>
      </w:pPr>
      <w:r w:rsidRPr="00445FDC">
        <w:rPr>
          <w:rFonts w:cs="Arial"/>
          <w:sz w:val="20"/>
          <w:szCs w:val="20"/>
        </w:rPr>
        <w:t>ERC 1-3: Sólo se recomiendan dietas hiposódicas en caso de HTA</w:t>
      </w:r>
      <w:r w:rsidRPr="00CE3260">
        <w:rPr>
          <w:rFonts w:cs="Arial"/>
          <w:sz w:val="20"/>
          <w:szCs w:val="20"/>
        </w:rPr>
        <w:t>, edema  y/</w:t>
      </w:r>
      <w:r w:rsidRPr="00445FDC">
        <w:rPr>
          <w:rFonts w:cs="Arial"/>
          <w:sz w:val="20"/>
          <w:szCs w:val="20"/>
        </w:rPr>
        <w:t xml:space="preserve">o insuficiencia cardiaca. </w:t>
      </w:r>
    </w:p>
    <w:p w:rsidR="00E81B3D" w:rsidRPr="00445FDC" w:rsidRDefault="00E81B3D" w:rsidP="001845AD">
      <w:pPr>
        <w:numPr>
          <w:ilvl w:val="0"/>
          <w:numId w:val="3"/>
        </w:numPr>
        <w:spacing w:before="120" w:after="120"/>
        <w:ind w:left="1560" w:hanging="284"/>
        <w:rPr>
          <w:rFonts w:cs="Arial"/>
          <w:sz w:val="20"/>
          <w:szCs w:val="20"/>
        </w:rPr>
      </w:pPr>
      <w:r w:rsidRPr="00445FDC">
        <w:rPr>
          <w:rFonts w:cs="Arial"/>
          <w:sz w:val="20"/>
          <w:szCs w:val="20"/>
        </w:rPr>
        <w:t>ERC 4-5: Recomendaciones dietéticas sobre el sodio, fósforo, potasio y proteínas.</w:t>
      </w:r>
    </w:p>
    <w:p w:rsidR="00E81B3D" w:rsidRPr="00445FDC" w:rsidRDefault="00E81B3D" w:rsidP="001845AD">
      <w:pPr>
        <w:spacing w:before="120" w:after="120"/>
        <w:rPr>
          <w:rFonts w:cs="Arial"/>
          <w:sz w:val="20"/>
          <w:szCs w:val="20"/>
        </w:rPr>
      </w:pPr>
    </w:p>
    <w:p w:rsidR="00E81B3D" w:rsidRDefault="00E81B3D" w:rsidP="001845AD">
      <w:pPr>
        <w:spacing w:before="120" w:after="120"/>
        <w:ind w:left="993"/>
        <w:rPr>
          <w:rFonts w:cs="Arial"/>
          <w:sz w:val="20"/>
          <w:szCs w:val="20"/>
        </w:rPr>
      </w:pPr>
      <w:r w:rsidRPr="00445FDC">
        <w:rPr>
          <w:rFonts w:cs="Arial"/>
          <w:sz w:val="20"/>
          <w:szCs w:val="20"/>
        </w:rPr>
        <w:t>Con respecto a la pérdida de peso en la ERC no hay datos con evidencia suficiente para demostrar el beneficio de la pérdida de peso intencional. Por otra parte el uso de dietas de alto contenido proteico así como de fármacos que produzcan reducción del peso puede producir efectos adversos en la ERC. Ambos extremos, dieta de alto contenido proteico y uso de fármacos que reduzcan el peso, deben ser aclarados por ensayos clínicos designados específicamente</w:t>
      </w:r>
      <w:r>
        <w:rPr>
          <w:rFonts w:cs="Arial"/>
          <w:sz w:val="20"/>
          <w:szCs w:val="20"/>
        </w:rPr>
        <w:t xml:space="preserve"> a tal efecto</w:t>
      </w:r>
      <w:r w:rsidRPr="006A1815">
        <w:rPr>
          <w:rStyle w:val="Refdenotaalfinal"/>
          <w:sz w:val="20"/>
          <w:szCs w:val="20"/>
        </w:rPr>
        <w:endnoteReference w:id="162"/>
      </w:r>
      <w:r w:rsidRPr="006A1815">
        <w:rPr>
          <w:rFonts w:cs="Arial"/>
          <w:sz w:val="20"/>
          <w:szCs w:val="20"/>
        </w:rPr>
        <w:t xml:space="preserve">. </w:t>
      </w:r>
    </w:p>
    <w:p w:rsidR="00E81B3D" w:rsidRPr="00F2432A" w:rsidRDefault="00E81B3D" w:rsidP="001845AD">
      <w:pPr>
        <w:spacing w:before="120" w:after="120"/>
        <w:ind w:left="993"/>
        <w:rPr>
          <w:rFonts w:cs="Arial"/>
          <w:sz w:val="20"/>
          <w:szCs w:val="20"/>
        </w:rPr>
      </w:pPr>
      <w:r w:rsidRPr="00BF7493">
        <w:rPr>
          <w:rFonts w:cs="Arial"/>
          <w:sz w:val="20"/>
          <w:szCs w:val="20"/>
        </w:rPr>
        <w:t>Por el contrario, la información disponible</w:t>
      </w:r>
      <w:r w:rsidRPr="00F2432A">
        <w:rPr>
          <w:rFonts w:cs="Arial"/>
          <w:sz w:val="20"/>
          <w:szCs w:val="20"/>
        </w:rPr>
        <w:t xml:space="preserve"> sugiere que la restricción proteica retrasa la progresión de la insuficiencia renal, y debería empezar a aplicarse cuando el FG cae por debajo de los </w:t>
      </w:r>
      <w:r w:rsidRPr="000A6CBF">
        <w:rPr>
          <w:rFonts w:cs="Arial"/>
          <w:sz w:val="20"/>
          <w:szCs w:val="20"/>
        </w:rPr>
        <w:t>25 ml/min</w:t>
      </w:r>
      <w:r w:rsidRPr="00B426A2">
        <w:rPr>
          <w:rFonts w:cs="Arial"/>
          <w:sz w:val="20"/>
          <w:szCs w:val="20"/>
        </w:rPr>
        <w:t>/1,73m</w:t>
      </w:r>
      <w:r w:rsidRPr="00B426A2">
        <w:rPr>
          <w:rFonts w:cs="Arial"/>
          <w:sz w:val="20"/>
          <w:szCs w:val="20"/>
          <w:vertAlign w:val="superscript"/>
        </w:rPr>
        <w:t>2</w:t>
      </w:r>
      <w:r>
        <w:rPr>
          <w:rFonts w:cs="Arial"/>
          <w:sz w:val="20"/>
          <w:szCs w:val="20"/>
        </w:rPr>
        <w:t>, -</w:t>
      </w:r>
      <w:r w:rsidRPr="00F2432A">
        <w:rPr>
          <w:rFonts w:cs="Arial"/>
          <w:sz w:val="20"/>
          <w:szCs w:val="20"/>
        </w:rPr>
        <w:t>salvo en casos de proteinuria por hiperfilt</w:t>
      </w:r>
      <w:r>
        <w:rPr>
          <w:rFonts w:cs="Arial"/>
          <w:sz w:val="20"/>
          <w:szCs w:val="20"/>
        </w:rPr>
        <w:t>ración, en cuyo caso debe insta</w:t>
      </w:r>
      <w:r w:rsidRPr="00F2432A">
        <w:rPr>
          <w:rFonts w:cs="Arial"/>
          <w:sz w:val="20"/>
          <w:szCs w:val="20"/>
        </w:rPr>
        <w:t>urarse mucho antes,</w:t>
      </w:r>
      <w:r>
        <w:rPr>
          <w:rFonts w:cs="Arial"/>
          <w:sz w:val="20"/>
          <w:szCs w:val="20"/>
        </w:rPr>
        <w:t xml:space="preserve"> </w:t>
      </w:r>
      <w:r w:rsidRPr="00F2432A">
        <w:rPr>
          <w:rFonts w:cs="Arial"/>
          <w:sz w:val="20"/>
          <w:szCs w:val="20"/>
        </w:rPr>
        <w:t>incluso con función renal normal-. Debe ajustarse el</w:t>
      </w:r>
      <w:r>
        <w:rPr>
          <w:rFonts w:cs="Arial"/>
          <w:sz w:val="20"/>
          <w:szCs w:val="20"/>
        </w:rPr>
        <w:t xml:space="preserve"> </w:t>
      </w:r>
      <w:r w:rsidRPr="00F2432A">
        <w:rPr>
          <w:rFonts w:cs="Arial"/>
          <w:sz w:val="20"/>
          <w:szCs w:val="20"/>
        </w:rPr>
        <w:t xml:space="preserve">contenido en proteínas a 0,8 g/kg/día (al menos la mitad </w:t>
      </w:r>
      <w:r w:rsidRPr="006A1815">
        <w:rPr>
          <w:rFonts w:cs="Arial"/>
          <w:sz w:val="20"/>
          <w:szCs w:val="20"/>
        </w:rPr>
        <w:t>deben ser proteínas animales de alto valor biológico), pero con alto contenido calórico en base a grasas mono y poliinsaturadas-, e</w:t>
      </w:r>
      <w:r w:rsidRPr="00F2432A">
        <w:rPr>
          <w:rFonts w:cs="Arial"/>
          <w:sz w:val="20"/>
          <w:szCs w:val="20"/>
        </w:rPr>
        <w:t xml:space="preserve"> hidratos de carbono, si no existen intolerancia hidrocarbonada o dislipemia que exijan ajustes adicionales. Dietas más restrictivas son extremadamente difíciles de seguir y conllevan el riesgo de déficit energético. Toda dieta debe individualizarse y adaptarse a los gustos y hábitos del paciente.</w:t>
      </w:r>
    </w:p>
    <w:p w:rsidR="00E81B3D" w:rsidRPr="00F2432A" w:rsidRDefault="00E81B3D" w:rsidP="001845AD">
      <w:pPr>
        <w:spacing w:before="120" w:after="120"/>
        <w:ind w:left="993"/>
        <w:rPr>
          <w:rFonts w:cs="Arial"/>
          <w:sz w:val="20"/>
          <w:szCs w:val="20"/>
        </w:rPr>
      </w:pPr>
      <w:r w:rsidRPr="00F2432A">
        <w:rPr>
          <w:rFonts w:cs="Arial"/>
          <w:sz w:val="20"/>
          <w:szCs w:val="20"/>
        </w:rPr>
        <w:t>Las proteínas son fundamentales para constituir y renovar las células de los tejidos, por ello es nece</w:t>
      </w:r>
      <w:r w:rsidRPr="00F2432A">
        <w:rPr>
          <w:rFonts w:cs="Arial"/>
          <w:sz w:val="20"/>
          <w:szCs w:val="20"/>
        </w:rPr>
        <w:softHyphen/>
        <w:t xml:space="preserve">sario que se ingiera una cantidad </w:t>
      </w:r>
      <w:r>
        <w:rPr>
          <w:rFonts w:cs="Arial"/>
          <w:sz w:val="20"/>
          <w:szCs w:val="20"/>
        </w:rPr>
        <w:t>mínima determinada.</w:t>
      </w:r>
      <w:r w:rsidRPr="00F2432A">
        <w:rPr>
          <w:rFonts w:cs="Arial"/>
          <w:sz w:val="20"/>
          <w:szCs w:val="20"/>
        </w:rPr>
        <w:t xml:space="preserve"> El ex</w:t>
      </w:r>
      <w:r w:rsidRPr="00F2432A">
        <w:rPr>
          <w:rFonts w:cs="Arial"/>
          <w:sz w:val="20"/>
          <w:szCs w:val="20"/>
        </w:rPr>
        <w:softHyphen/>
        <w:t>ceso de proteínas o la falta de ellas (desnutrición) pueden ser perjudiciales. Es recomendable una dieta baja en proteínas para los pacientes con ERC avanzada que no han ini</w:t>
      </w:r>
      <w:r w:rsidRPr="00F2432A">
        <w:rPr>
          <w:rFonts w:cs="Arial"/>
          <w:sz w:val="20"/>
          <w:szCs w:val="20"/>
        </w:rPr>
        <w:softHyphen/>
        <w:t>ciado tratamiento sustitutivo ya que la disminu</w:t>
      </w:r>
      <w:r w:rsidRPr="00F2432A">
        <w:rPr>
          <w:rFonts w:cs="Arial"/>
          <w:sz w:val="20"/>
          <w:szCs w:val="20"/>
        </w:rPr>
        <w:softHyphen/>
        <w:t xml:space="preserve">ción de la ingesta de proteínas es beneficiosa para enlentecer la progresión de la enfermedad renal. </w:t>
      </w:r>
      <w:r w:rsidRPr="006E25C3">
        <w:rPr>
          <w:rFonts w:cs="Arial"/>
          <w:sz w:val="20"/>
          <w:szCs w:val="20"/>
        </w:rPr>
        <w:t>(Ver re</w:t>
      </w:r>
      <w:r>
        <w:rPr>
          <w:rFonts w:cs="Arial"/>
          <w:sz w:val="20"/>
          <w:szCs w:val="20"/>
        </w:rPr>
        <w:t>comendaciones en el apartado de a</w:t>
      </w:r>
      <w:r w:rsidRPr="006E25C3">
        <w:rPr>
          <w:rFonts w:cs="Arial"/>
          <w:sz w:val="20"/>
          <w:szCs w:val="20"/>
        </w:rPr>
        <w:t>ctitudes, estilo de vida y tratamiento)</w:t>
      </w:r>
      <w:r>
        <w:rPr>
          <w:rFonts w:cs="Arial"/>
          <w:sz w:val="20"/>
          <w:szCs w:val="20"/>
        </w:rPr>
        <w:t>.</w:t>
      </w:r>
    </w:p>
    <w:p w:rsidR="00E81B3D" w:rsidRPr="00F2432A" w:rsidRDefault="00E81B3D" w:rsidP="001845AD">
      <w:pPr>
        <w:spacing w:before="120" w:after="120"/>
        <w:ind w:left="993"/>
        <w:rPr>
          <w:rFonts w:cs="Arial"/>
          <w:sz w:val="20"/>
          <w:szCs w:val="20"/>
        </w:rPr>
      </w:pPr>
      <w:r w:rsidRPr="00F2432A">
        <w:rPr>
          <w:rFonts w:cs="Arial"/>
          <w:sz w:val="20"/>
          <w:szCs w:val="20"/>
        </w:rPr>
        <w:t>La cantidad adecuada de ingesta proteica está relacionada con el peso del paciente. La aportación apropiada de proteínas en pa</w:t>
      </w:r>
      <w:r w:rsidRPr="00F2432A">
        <w:rPr>
          <w:rFonts w:cs="Arial"/>
          <w:sz w:val="20"/>
          <w:szCs w:val="20"/>
        </w:rPr>
        <w:softHyphen/>
        <w:t xml:space="preserve">cientes con ERC es de 0,6-0,8 g/kg de peso, el 50% de las cuales debe ser de alto valor biológico, es decir de origen animal: el otro 50% debe completarse con las proteínas que contienen el resto de alimentos incluidos en la dieta (de origen vegetal). </w:t>
      </w:r>
    </w:p>
    <w:p w:rsidR="00C42DEB" w:rsidRDefault="00E81B3D" w:rsidP="001845AD">
      <w:pPr>
        <w:spacing w:before="120" w:after="120"/>
        <w:ind w:left="993"/>
        <w:rPr>
          <w:rFonts w:cs="Arial"/>
          <w:sz w:val="20"/>
          <w:szCs w:val="20"/>
        </w:rPr>
      </w:pPr>
      <w:r w:rsidRPr="000A6CBF">
        <w:rPr>
          <w:rFonts w:cs="Arial"/>
          <w:sz w:val="20"/>
          <w:szCs w:val="20"/>
        </w:rPr>
        <w:t>En pacientes con ERC en hemodiálisis la ingesta proteica puede aumentar hasta 1,2 g/kg de peso para favorecer un adecuado balance proteico y evitar el desgaste calórico-energético y lograr un adecuado estado nutricional. En pacientes con ERC y malnutrición puede ser necesario recurrir a técnicas de nutrición artific</w:t>
      </w:r>
      <w:r w:rsidRPr="00390788">
        <w:rPr>
          <w:rFonts w:cs="Arial"/>
          <w:color w:val="FF0000"/>
          <w:sz w:val="20"/>
          <w:szCs w:val="20"/>
        </w:rPr>
        <w:t>i</w:t>
      </w:r>
      <w:r w:rsidRPr="000A6CBF">
        <w:rPr>
          <w:rFonts w:cs="Arial"/>
          <w:sz w:val="20"/>
          <w:szCs w:val="20"/>
        </w:rPr>
        <w:t>al</w:t>
      </w:r>
      <w:r>
        <w:rPr>
          <w:rFonts w:cs="Arial"/>
          <w:sz w:val="20"/>
          <w:szCs w:val="20"/>
        </w:rPr>
        <w:t xml:space="preserve">. Es </w:t>
      </w:r>
      <w:r w:rsidRPr="000A6CBF">
        <w:rPr>
          <w:rFonts w:cs="Arial"/>
          <w:sz w:val="20"/>
          <w:szCs w:val="20"/>
        </w:rPr>
        <w:t>posible que sean necesarios estudios</w:t>
      </w:r>
      <w:r>
        <w:rPr>
          <w:rFonts w:cs="Arial"/>
          <w:sz w:val="20"/>
          <w:szCs w:val="20"/>
        </w:rPr>
        <w:t xml:space="preserve"> </w:t>
      </w:r>
      <w:r w:rsidRPr="000A6CBF">
        <w:rPr>
          <w:rFonts w:cs="Arial"/>
          <w:sz w:val="20"/>
          <w:szCs w:val="20"/>
        </w:rPr>
        <w:t>nutricionales adicionales para caracterizar el nivel óptimo de restricción de proteínas y la duración de la intervención. Los estudios adicionales deben probar un posible efecto aditivo de una dieta con bajo contenido proteico en combinación con inhibidores de la enzima convertidora de angiotensina, antagonista del receptor II de la angiotensina u otros</w:t>
      </w:r>
      <w:r>
        <w:rPr>
          <w:rFonts w:cs="Arial"/>
          <w:sz w:val="20"/>
          <w:szCs w:val="20"/>
        </w:rPr>
        <w:t xml:space="preserve"> medicamentos antiproteinúricos</w:t>
      </w:r>
      <w:r>
        <w:rPr>
          <w:rStyle w:val="Refdenotaalfinal"/>
          <w:rFonts w:cs="Arial"/>
          <w:sz w:val="20"/>
          <w:szCs w:val="20"/>
        </w:rPr>
        <w:endnoteReference w:id="163"/>
      </w:r>
      <w:r>
        <w:rPr>
          <w:rFonts w:cs="Arial"/>
          <w:sz w:val="20"/>
          <w:szCs w:val="20"/>
        </w:rPr>
        <w:t>.</w:t>
      </w:r>
      <w:bookmarkStart w:id="78" w:name="_Toc316486480"/>
      <w:bookmarkStart w:id="79" w:name="_Toc316486579"/>
    </w:p>
    <w:p w:rsidR="00C42DEB" w:rsidRPr="00F2432A" w:rsidRDefault="00C42DEB" w:rsidP="001845AD">
      <w:pPr>
        <w:spacing w:before="120" w:after="120"/>
        <w:ind w:left="993"/>
        <w:rPr>
          <w:rFonts w:cs="Arial"/>
          <w:sz w:val="20"/>
          <w:szCs w:val="20"/>
        </w:rPr>
      </w:pPr>
    </w:p>
    <w:p w:rsidR="00C42DEB" w:rsidRPr="00215D7C" w:rsidRDefault="00C42DEB" w:rsidP="0046272A">
      <w:pPr>
        <w:pStyle w:val="Ttulo2"/>
        <w:ind w:left="993" w:hanging="426"/>
        <w:rPr>
          <w:rFonts w:ascii="Arial" w:hAnsi="Arial" w:cs="Arial"/>
          <w:i w:val="0"/>
          <w:sz w:val="20"/>
          <w:szCs w:val="20"/>
        </w:rPr>
      </w:pPr>
      <w:bookmarkStart w:id="80" w:name="_Toc341725540"/>
      <w:r w:rsidRPr="00215D7C">
        <w:rPr>
          <w:rFonts w:ascii="Arial" w:hAnsi="Arial" w:cs="Arial"/>
          <w:i w:val="0"/>
          <w:sz w:val="20"/>
          <w:szCs w:val="20"/>
        </w:rPr>
        <w:lastRenderedPageBreak/>
        <w:t>Otras actitudes.</w:t>
      </w:r>
      <w:bookmarkEnd w:id="78"/>
      <w:bookmarkEnd w:id="79"/>
      <w:bookmarkEnd w:id="80"/>
    </w:p>
    <w:p w:rsidR="00C42DEB" w:rsidRPr="00B426A2" w:rsidRDefault="00C42DEB" w:rsidP="003F020D">
      <w:pPr>
        <w:pStyle w:val="Ttulo3"/>
        <w:numPr>
          <w:ilvl w:val="0"/>
          <w:numId w:val="35"/>
        </w:numPr>
        <w:rPr>
          <w:rFonts w:ascii="Arial" w:hAnsi="Arial" w:cs="Arial"/>
          <w:sz w:val="20"/>
          <w:szCs w:val="20"/>
        </w:rPr>
      </w:pPr>
      <w:r w:rsidRPr="006F1FBE">
        <w:rPr>
          <w:rFonts w:ascii="Arial" w:hAnsi="Arial" w:cs="Arial"/>
          <w:sz w:val="20"/>
          <w:szCs w:val="20"/>
        </w:rPr>
        <w:t xml:space="preserve">Preparación </w:t>
      </w:r>
      <w:r w:rsidRPr="00B426A2">
        <w:rPr>
          <w:rFonts w:ascii="Arial" w:hAnsi="Arial" w:cs="Arial"/>
          <w:sz w:val="20"/>
          <w:szCs w:val="20"/>
        </w:rPr>
        <w:t>para el tratamiento sustitutivo renal (TSR) y tiempo de iniciación de terapia sustitutiva renal</w:t>
      </w:r>
      <w:r w:rsidR="006A1815">
        <w:rPr>
          <w:rFonts w:ascii="Arial" w:hAnsi="Arial" w:cs="Arial"/>
          <w:sz w:val="20"/>
          <w:szCs w:val="20"/>
        </w:rPr>
        <w:t>.</w:t>
      </w:r>
      <w:r w:rsidR="00936BE3">
        <w:rPr>
          <w:rFonts w:ascii="Arial" w:hAnsi="Arial" w:cs="Arial"/>
          <w:sz w:val="20"/>
          <w:szCs w:val="20"/>
        </w:rPr>
        <w:fldChar w:fldCharType="begin"/>
      </w:r>
      <w:r w:rsidR="006A1815">
        <w:rPr>
          <w:rFonts w:ascii="Arial" w:hAnsi="Arial" w:cs="Arial"/>
          <w:sz w:val="20"/>
          <w:szCs w:val="20"/>
        </w:rPr>
        <w:instrText xml:space="preserve"> NOTEREF _Ref343106567 \f </w:instrText>
      </w:r>
      <w:r w:rsidR="00936BE3">
        <w:rPr>
          <w:rFonts w:ascii="Arial" w:hAnsi="Arial" w:cs="Arial"/>
          <w:sz w:val="20"/>
          <w:szCs w:val="20"/>
        </w:rPr>
        <w:fldChar w:fldCharType="separate"/>
      </w:r>
      <w:r w:rsidR="00852CBE" w:rsidRPr="00852CBE">
        <w:rPr>
          <w:rStyle w:val="Refdenotaalfinal"/>
        </w:rPr>
        <w:t>3</w:t>
      </w:r>
      <w:r w:rsidR="00936BE3">
        <w:rPr>
          <w:rFonts w:ascii="Arial" w:hAnsi="Arial" w:cs="Arial"/>
          <w:sz w:val="20"/>
          <w:szCs w:val="20"/>
        </w:rPr>
        <w:fldChar w:fldCharType="end"/>
      </w:r>
    </w:p>
    <w:p w:rsidR="00C42DEB" w:rsidRPr="00B426A2" w:rsidRDefault="00C42DEB" w:rsidP="001845AD">
      <w:pPr>
        <w:spacing w:before="120" w:after="120"/>
        <w:ind w:left="1418"/>
        <w:rPr>
          <w:rFonts w:cs="Arial"/>
          <w:sz w:val="20"/>
          <w:szCs w:val="20"/>
        </w:rPr>
      </w:pPr>
      <w:r w:rsidRPr="00B426A2">
        <w:rPr>
          <w:rFonts w:cs="Arial"/>
          <w:sz w:val="20"/>
          <w:szCs w:val="20"/>
        </w:rPr>
        <w:t>El i</w:t>
      </w:r>
      <w:r>
        <w:rPr>
          <w:rFonts w:cs="Arial"/>
          <w:sz w:val="20"/>
          <w:szCs w:val="20"/>
        </w:rPr>
        <w:t xml:space="preserve">nicio óptimo del TRS es aquel que se </w:t>
      </w:r>
      <w:r w:rsidRPr="00B426A2">
        <w:rPr>
          <w:rFonts w:cs="Arial"/>
          <w:sz w:val="20"/>
          <w:szCs w:val="20"/>
        </w:rPr>
        <w:t xml:space="preserve"> realiza de forma planificada. La falta de previsión en dicho inicio aumenta innecesariamente el uso de catéteres para hemodiálisis, de los que se derivará un mayor morbilidad, infecciones e incremento en las hospitalizaciones</w:t>
      </w:r>
    </w:p>
    <w:p w:rsidR="00C42DEB" w:rsidRPr="00B426A2" w:rsidRDefault="00C42DEB" w:rsidP="001845AD">
      <w:pPr>
        <w:spacing w:before="120" w:after="120"/>
        <w:ind w:left="1418"/>
        <w:rPr>
          <w:rFonts w:cs="Arial"/>
          <w:sz w:val="20"/>
          <w:szCs w:val="20"/>
        </w:rPr>
      </w:pPr>
      <w:r w:rsidRPr="00B426A2">
        <w:rPr>
          <w:rFonts w:cs="Arial"/>
          <w:sz w:val="20"/>
          <w:szCs w:val="20"/>
        </w:rPr>
        <w:t>Una remisión en tiempo adecuado del paciente al nefrólogo implica que recibirá una adecuada información sobre las posibles técnicas de TSR: diálisis peritoneal (DP), hemodiálisis (HD), HD domiciliaria, así como la posibilidad de un trasplante renal de donante vivo, si existiera.</w:t>
      </w:r>
    </w:p>
    <w:p w:rsidR="00C42DEB" w:rsidRPr="00B426A2" w:rsidRDefault="00C42DEB" w:rsidP="001845AD">
      <w:pPr>
        <w:spacing w:before="120" w:after="120"/>
        <w:ind w:left="1418"/>
        <w:rPr>
          <w:rFonts w:cs="Arial"/>
          <w:sz w:val="20"/>
          <w:szCs w:val="20"/>
        </w:rPr>
      </w:pPr>
      <w:r w:rsidRPr="00B426A2">
        <w:rPr>
          <w:rFonts w:cs="Arial"/>
          <w:sz w:val="20"/>
          <w:szCs w:val="20"/>
        </w:rPr>
        <w:t>Una remisión a tiempo facilita la explicación adecuada de las técnicas domiciliarias, -ver “Proyecto Elección”, que la SEN ha ofrecido a todos los pacientes desde el mes de julio de 2011, en colaboración con las asociaciones de Enfermos Renales-, mientras que la remisión tardía del paciente aumenta todas las complicaciones, especialmente infecciosas y cardiovasculares y tiene un impacto negativo sobre la supervivencia.</w:t>
      </w:r>
    </w:p>
    <w:p w:rsidR="00C42DEB" w:rsidRPr="00B426A2" w:rsidRDefault="00C42DEB" w:rsidP="001845AD">
      <w:pPr>
        <w:spacing w:before="120" w:after="120"/>
        <w:ind w:left="1418"/>
        <w:rPr>
          <w:rFonts w:cs="Arial"/>
          <w:sz w:val="20"/>
          <w:szCs w:val="20"/>
        </w:rPr>
      </w:pPr>
      <w:r w:rsidRPr="00B426A2">
        <w:rPr>
          <w:rFonts w:cs="Arial"/>
          <w:sz w:val="20"/>
          <w:szCs w:val="20"/>
        </w:rPr>
        <w:t>Ese programa “Elección” supone la información adecuada al paciente, a través de un test previo</w:t>
      </w:r>
      <w:r w:rsidR="00845556">
        <w:rPr>
          <w:rFonts w:cs="Arial"/>
          <w:sz w:val="20"/>
          <w:szCs w:val="20"/>
        </w:rPr>
        <w:t xml:space="preserve"> de receptividad</w:t>
      </w:r>
      <w:r w:rsidRPr="00B426A2">
        <w:rPr>
          <w:rFonts w:cs="Arial"/>
          <w:sz w:val="20"/>
          <w:szCs w:val="20"/>
        </w:rPr>
        <w:t xml:space="preserve"> para situar los conocimientos del paciente respecto de las TSR, entrevistas grabadas en video a pacientes, y opiniones de expertos, respecto a todas las técnicas de TSR posibles y la conveniencia de practicar un acceso vascular para la Hemodiálisis o la implantación de un catéter peritoneal para la DP, si ésta es la técnica más adecuada para el paciente concreto.</w:t>
      </w:r>
    </w:p>
    <w:p w:rsidR="00C42DEB" w:rsidRPr="00B426A2" w:rsidRDefault="00C42DEB" w:rsidP="009B0FA0">
      <w:pPr>
        <w:spacing w:before="120" w:after="120"/>
        <w:ind w:left="1418"/>
        <w:rPr>
          <w:rFonts w:cs="Arial"/>
          <w:sz w:val="20"/>
          <w:szCs w:val="20"/>
        </w:rPr>
      </w:pPr>
      <w:r w:rsidRPr="00B426A2">
        <w:rPr>
          <w:rFonts w:cs="Arial"/>
          <w:sz w:val="20"/>
          <w:szCs w:val="20"/>
        </w:rPr>
        <w:t>Hay que plantearse el TSR cuando el FG es &lt; 15 ml/ min/1.73 m</w:t>
      </w:r>
      <w:r w:rsidRPr="00B426A2">
        <w:rPr>
          <w:rFonts w:cs="Arial"/>
          <w:sz w:val="20"/>
          <w:szCs w:val="20"/>
          <w:vertAlign w:val="superscript"/>
        </w:rPr>
        <w:t>2</w:t>
      </w:r>
      <w:r w:rsidRPr="00B426A2">
        <w:rPr>
          <w:rFonts w:cs="Arial"/>
          <w:sz w:val="20"/>
          <w:szCs w:val="20"/>
        </w:rPr>
        <w:t xml:space="preserve"> o antes si aparecen signos o síntomas de uremia o dificultad en el control de la hidratación, - hecho frecuente en el caso del paciente con DM -, la HTA o empeoramiento del estado nutricional. </w:t>
      </w:r>
    </w:p>
    <w:p w:rsidR="00C42DEB" w:rsidRPr="00B426A2" w:rsidRDefault="00C42DEB" w:rsidP="001845AD">
      <w:pPr>
        <w:spacing w:before="120" w:after="120"/>
        <w:ind w:left="1418"/>
        <w:rPr>
          <w:rFonts w:cs="Arial"/>
          <w:sz w:val="20"/>
          <w:szCs w:val="20"/>
        </w:rPr>
      </w:pPr>
      <w:r w:rsidRPr="00B426A2">
        <w:rPr>
          <w:rFonts w:cs="Arial"/>
          <w:sz w:val="20"/>
          <w:szCs w:val="20"/>
        </w:rPr>
        <w:t>En general, se iniciará diálisis cuando el FG está situado entre 8 y 10 ml/ min/1.73 m</w:t>
      </w:r>
      <w:r w:rsidRPr="00B426A2">
        <w:rPr>
          <w:rFonts w:cs="Arial"/>
          <w:sz w:val="20"/>
          <w:szCs w:val="20"/>
          <w:vertAlign w:val="superscript"/>
        </w:rPr>
        <w:t>2</w:t>
      </w:r>
      <w:r w:rsidRPr="00B426A2">
        <w:rPr>
          <w:rFonts w:cs="Arial"/>
          <w:sz w:val="20"/>
          <w:szCs w:val="20"/>
        </w:rPr>
        <w:t>. y es mandatorio con FG &lt; 6 ml/ min/1.73 m</w:t>
      </w:r>
      <w:r w:rsidRPr="00B426A2">
        <w:rPr>
          <w:rFonts w:cs="Arial"/>
          <w:sz w:val="20"/>
          <w:szCs w:val="20"/>
          <w:vertAlign w:val="superscript"/>
        </w:rPr>
        <w:t>2</w:t>
      </w:r>
      <w:r w:rsidRPr="00B426A2">
        <w:rPr>
          <w:rFonts w:cs="Arial"/>
          <w:sz w:val="20"/>
          <w:szCs w:val="20"/>
        </w:rPr>
        <w:t xml:space="preserve">, incluso en ausencia de sintomatología urémica. En personas de alto riesgo insistimos que debe plantearse el inicio adelantado de diálisis, estableciéndolo de forma individualizada. </w:t>
      </w:r>
    </w:p>
    <w:p w:rsidR="00C42DEB" w:rsidRPr="00B426A2" w:rsidRDefault="00C42DEB" w:rsidP="001845AD">
      <w:pPr>
        <w:spacing w:before="120" w:after="120"/>
        <w:ind w:left="1418"/>
        <w:rPr>
          <w:rFonts w:cs="Arial"/>
          <w:sz w:val="20"/>
          <w:szCs w:val="20"/>
        </w:rPr>
      </w:pPr>
      <w:r w:rsidRPr="00B426A2">
        <w:rPr>
          <w:rFonts w:cs="Arial"/>
          <w:sz w:val="20"/>
          <w:szCs w:val="20"/>
        </w:rPr>
        <w:t xml:space="preserve">La disponibilidad de una consulta específica de ERC avanzada (ERCA) con soporte de una consulta de enfermería especializada es una buena herramienta que permite la preparación y planificación del TRS. </w:t>
      </w:r>
    </w:p>
    <w:p w:rsidR="00C42DEB" w:rsidRPr="00B426A2" w:rsidRDefault="00C42DEB" w:rsidP="001845AD">
      <w:pPr>
        <w:spacing w:before="120" w:after="120"/>
        <w:ind w:left="1418"/>
        <w:rPr>
          <w:rFonts w:cs="Arial"/>
          <w:sz w:val="20"/>
          <w:szCs w:val="20"/>
        </w:rPr>
      </w:pPr>
      <w:r w:rsidRPr="00B426A2">
        <w:rPr>
          <w:rFonts w:cs="Arial"/>
          <w:sz w:val="20"/>
          <w:szCs w:val="20"/>
        </w:rPr>
        <w:t xml:space="preserve">Hay que tener en cuenta que el paciente puede ser estudiado convenientemente y preparado para un posible trasplante renal de donante vivo anticipado, - si existe esa posibilidad-, sin que haya iniciado diálisis. </w:t>
      </w:r>
    </w:p>
    <w:p w:rsidR="00C42DEB" w:rsidRPr="00CE3260" w:rsidRDefault="00C42DEB" w:rsidP="001845AD">
      <w:pPr>
        <w:spacing w:before="120" w:after="120"/>
        <w:ind w:left="1418"/>
        <w:rPr>
          <w:rFonts w:cs="Arial"/>
          <w:sz w:val="20"/>
          <w:szCs w:val="20"/>
        </w:rPr>
      </w:pPr>
      <w:r w:rsidRPr="00B426A2">
        <w:rPr>
          <w:rFonts w:cs="Arial"/>
          <w:sz w:val="20"/>
          <w:szCs w:val="20"/>
        </w:rPr>
        <w:t xml:space="preserve">Evidentemente el paciente con ERC avanzada puede ser estudiado convenientemente y puesto en lista de </w:t>
      </w:r>
      <w:r w:rsidRPr="00CE3260">
        <w:rPr>
          <w:rFonts w:cs="Arial"/>
          <w:sz w:val="20"/>
          <w:szCs w:val="20"/>
        </w:rPr>
        <w:t>espera para un posible TR de donante cadáver, si surge dicha posibilidad, antes del inicio de diálisis.</w:t>
      </w:r>
    </w:p>
    <w:p w:rsidR="00C42DEB" w:rsidRPr="00CE3260" w:rsidRDefault="00C42DEB" w:rsidP="001845AD">
      <w:pPr>
        <w:spacing w:before="120" w:after="120"/>
        <w:ind w:left="1418"/>
        <w:rPr>
          <w:rFonts w:cs="Arial"/>
          <w:sz w:val="20"/>
          <w:szCs w:val="20"/>
        </w:rPr>
      </w:pPr>
      <w:r w:rsidRPr="00CE3260">
        <w:rPr>
          <w:rFonts w:cs="Arial"/>
          <w:b/>
          <w:sz w:val="20"/>
          <w:szCs w:val="20"/>
        </w:rPr>
        <w:t>Indicaciones de TSR</w:t>
      </w:r>
      <w:r w:rsidRPr="00CE3260">
        <w:rPr>
          <w:rFonts w:cs="Arial"/>
          <w:sz w:val="20"/>
          <w:szCs w:val="20"/>
        </w:rPr>
        <w:t>.</w:t>
      </w:r>
    </w:p>
    <w:p w:rsidR="00C42DEB" w:rsidRPr="00CE3260" w:rsidRDefault="00C42DEB" w:rsidP="005A5680">
      <w:pPr>
        <w:spacing w:before="120" w:after="120"/>
        <w:ind w:left="1418"/>
        <w:rPr>
          <w:rFonts w:cs="Arial"/>
          <w:sz w:val="20"/>
          <w:szCs w:val="20"/>
        </w:rPr>
      </w:pPr>
      <w:r w:rsidRPr="00CE3260">
        <w:rPr>
          <w:rFonts w:cs="Arial"/>
          <w:bCs/>
          <w:sz w:val="20"/>
          <w:szCs w:val="20"/>
        </w:rPr>
        <w:t xml:space="preserve">Se iniciará diálisis cuando el GFR  esté entre 5 y 10 mL/min/1.73 m2  o cuando están presentes uno o más síntomas o signos atribuibles al fallo renal (serositis, anormalidades </w:t>
      </w:r>
      <w:r>
        <w:rPr>
          <w:rFonts w:cs="Arial"/>
          <w:bCs/>
          <w:sz w:val="20"/>
          <w:szCs w:val="20"/>
        </w:rPr>
        <w:t xml:space="preserve">en el equilibrio </w:t>
      </w:r>
      <w:r w:rsidRPr="00CE3260">
        <w:rPr>
          <w:rFonts w:cs="Arial"/>
          <w:bCs/>
          <w:sz w:val="20"/>
          <w:szCs w:val="20"/>
        </w:rPr>
        <w:t>ácido-base o electrolíticas, mal control de la volemia o de la PA, deterioro progresivo del estado nutricional resistente a  intervenciones dietéticas o deterioro cognitivo.</w:t>
      </w:r>
    </w:p>
    <w:p w:rsidR="00C42DEB" w:rsidRDefault="00C42DEB" w:rsidP="001845AD">
      <w:pPr>
        <w:spacing w:before="120" w:after="120"/>
        <w:ind w:left="1418"/>
        <w:rPr>
          <w:rFonts w:cs="Arial"/>
          <w:b/>
          <w:sz w:val="20"/>
          <w:szCs w:val="20"/>
        </w:rPr>
      </w:pPr>
    </w:p>
    <w:p w:rsidR="00651852" w:rsidRDefault="00651852" w:rsidP="001845AD">
      <w:pPr>
        <w:spacing w:before="120" w:after="120"/>
        <w:ind w:left="1418"/>
        <w:rPr>
          <w:rFonts w:cs="Arial"/>
          <w:b/>
          <w:sz w:val="20"/>
          <w:szCs w:val="20"/>
        </w:rPr>
      </w:pPr>
    </w:p>
    <w:p w:rsidR="00651852" w:rsidRDefault="00651852" w:rsidP="001845AD">
      <w:pPr>
        <w:spacing w:before="120" w:after="120"/>
        <w:ind w:left="1418"/>
        <w:rPr>
          <w:rFonts w:cs="Arial"/>
          <w:b/>
          <w:sz w:val="20"/>
          <w:szCs w:val="20"/>
        </w:rPr>
      </w:pPr>
    </w:p>
    <w:p w:rsidR="00633C54" w:rsidRDefault="00633C54" w:rsidP="001845AD">
      <w:pPr>
        <w:spacing w:before="120" w:after="120"/>
        <w:ind w:left="1418"/>
        <w:rPr>
          <w:rFonts w:cs="Arial"/>
          <w:b/>
          <w:sz w:val="20"/>
          <w:szCs w:val="20"/>
        </w:rPr>
      </w:pPr>
    </w:p>
    <w:p w:rsidR="00633C54" w:rsidRDefault="00633C54" w:rsidP="001845AD">
      <w:pPr>
        <w:spacing w:before="120" w:after="120"/>
        <w:ind w:left="1418"/>
        <w:rPr>
          <w:rFonts w:cs="Arial"/>
          <w:b/>
          <w:sz w:val="20"/>
          <w:szCs w:val="20"/>
        </w:rPr>
      </w:pPr>
    </w:p>
    <w:p w:rsidR="00633C54" w:rsidRDefault="00633C54" w:rsidP="001845AD">
      <w:pPr>
        <w:spacing w:before="120" w:after="120"/>
        <w:ind w:left="1418"/>
        <w:rPr>
          <w:rFonts w:cs="Arial"/>
          <w:b/>
          <w:sz w:val="20"/>
          <w:szCs w:val="20"/>
        </w:rPr>
      </w:pPr>
    </w:p>
    <w:p w:rsidR="00AA0B48" w:rsidRDefault="00AA0B48" w:rsidP="001845AD">
      <w:pPr>
        <w:spacing w:before="120" w:after="120"/>
        <w:ind w:left="1418"/>
        <w:rPr>
          <w:rFonts w:cs="Arial"/>
          <w:b/>
          <w:sz w:val="20"/>
          <w:szCs w:val="20"/>
        </w:rPr>
      </w:pPr>
    </w:p>
    <w:p w:rsidR="00633C54" w:rsidRDefault="00633C54" w:rsidP="001845AD">
      <w:pPr>
        <w:spacing w:before="120" w:after="120"/>
        <w:ind w:left="1418"/>
        <w:rPr>
          <w:rFonts w:cs="Arial"/>
          <w:b/>
          <w:sz w:val="20"/>
          <w:szCs w:val="20"/>
        </w:rPr>
      </w:pPr>
    </w:p>
    <w:p w:rsidR="007908A6" w:rsidRDefault="007908A6" w:rsidP="001845AD">
      <w:pPr>
        <w:spacing w:before="120" w:after="120"/>
        <w:ind w:left="1418"/>
        <w:rPr>
          <w:rFonts w:cs="Arial"/>
          <w:b/>
          <w:sz w:val="20"/>
          <w:szCs w:val="20"/>
        </w:rPr>
      </w:pPr>
    </w:p>
    <w:p w:rsidR="00C42DEB" w:rsidRPr="00904912" w:rsidRDefault="00C42DEB" w:rsidP="00904912">
      <w:pPr>
        <w:spacing w:before="120" w:after="120"/>
        <w:ind w:left="1418"/>
        <w:jc w:val="left"/>
        <w:rPr>
          <w:rFonts w:cs="Arial"/>
          <w:b/>
          <w:sz w:val="18"/>
          <w:szCs w:val="18"/>
        </w:rPr>
      </w:pPr>
      <w:r>
        <w:rPr>
          <w:rFonts w:cs="Arial"/>
          <w:b/>
          <w:sz w:val="18"/>
          <w:szCs w:val="18"/>
        </w:rPr>
        <w:lastRenderedPageBreak/>
        <w:t>Tabla 15</w:t>
      </w:r>
      <w:r w:rsidRPr="00904912">
        <w:rPr>
          <w:rFonts w:cs="Arial"/>
          <w:b/>
          <w:sz w:val="18"/>
          <w:szCs w:val="18"/>
        </w:rPr>
        <w:t>. OBJETIVOS POR ESPECIALIDAD EN EL SEGUIMIENTO DEL PACIENTE CON ERC</w:t>
      </w:r>
    </w:p>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976"/>
        <w:gridCol w:w="3402"/>
      </w:tblGrid>
      <w:tr w:rsidR="00C42DEB" w:rsidRPr="00914C78" w:rsidTr="005D3E74">
        <w:trPr>
          <w:trHeight w:val="315"/>
          <w:tblHeader/>
        </w:trPr>
        <w:tc>
          <w:tcPr>
            <w:tcW w:w="2552" w:type="dxa"/>
            <w:vAlign w:val="center"/>
          </w:tcPr>
          <w:p w:rsidR="00C42DEB" w:rsidRPr="00914C78"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914C78">
              <w:rPr>
                <w:rFonts w:ascii="Arial" w:hAnsi="Arial"/>
                <w:b/>
                <w:sz w:val="18"/>
                <w:szCs w:val="18"/>
              </w:rPr>
              <w:t>Estadio ERC</w:t>
            </w:r>
          </w:p>
        </w:tc>
        <w:tc>
          <w:tcPr>
            <w:tcW w:w="2976" w:type="dxa"/>
            <w:vAlign w:val="center"/>
          </w:tcPr>
          <w:p w:rsidR="00C42DEB" w:rsidRPr="00914C78"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914C78">
              <w:rPr>
                <w:rFonts w:ascii="Arial" w:hAnsi="Arial"/>
                <w:b/>
                <w:sz w:val="18"/>
                <w:szCs w:val="18"/>
              </w:rPr>
              <w:t>Atención Primaria</w:t>
            </w:r>
          </w:p>
        </w:tc>
        <w:tc>
          <w:tcPr>
            <w:tcW w:w="3402" w:type="dxa"/>
            <w:vAlign w:val="center"/>
          </w:tcPr>
          <w:p w:rsidR="00C42DEB" w:rsidRPr="00914C78"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b/>
                <w:sz w:val="18"/>
                <w:szCs w:val="18"/>
              </w:rPr>
            </w:pPr>
            <w:r w:rsidRPr="00914C78">
              <w:rPr>
                <w:rFonts w:ascii="Arial" w:hAnsi="Arial"/>
                <w:b/>
                <w:sz w:val="18"/>
                <w:szCs w:val="18"/>
              </w:rPr>
              <w:t>Nefrología</w:t>
            </w:r>
          </w:p>
        </w:tc>
      </w:tr>
      <w:tr w:rsidR="00C42DEB" w:rsidRPr="00914C78" w:rsidTr="005D3E74">
        <w:trPr>
          <w:trHeight w:val="315"/>
        </w:trPr>
        <w:tc>
          <w:tcPr>
            <w:tcW w:w="2552" w:type="dxa"/>
          </w:tcPr>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1-2</w:t>
            </w:r>
          </w:p>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 xml:space="preserve">(FG&gt; 60 </w:t>
            </w:r>
            <w:r w:rsidRPr="00863413">
              <w:rPr>
                <w:rFonts w:cs="Arial"/>
                <w:color w:val="auto"/>
                <w:sz w:val="20"/>
              </w:rPr>
              <w:t>ml/min/1,73 m</w:t>
            </w:r>
            <w:r w:rsidRPr="00863413">
              <w:rPr>
                <w:rFonts w:cs="Arial"/>
                <w:color w:val="auto"/>
                <w:sz w:val="20"/>
                <w:vertAlign w:val="superscript"/>
              </w:rPr>
              <w:t>2</w:t>
            </w:r>
            <w:r w:rsidRPr="00863413">
              <w:rPr>
                <w:rFonts w:ascii="Arial" w:hAnsi="Arial"/>
                <w:color w:val="auto"/>
                <w:sz w:val="18"/>
                <w:szCs w:val="18"/>
              </w:rPr>
              <w:t>)</w:t>
            </w:r>
          </w:p>
        </w:tc>
        <w:tc>
          <w:tcPr>
            <w:tcW w:w="2976" w:type="dxa"/>
          </w:tcPr>
          <w:p w:rsidR="00C42DEB" w:rsidRPr="0049306A" w:rsidRDefault="00C42DEB" w:rsidP="005D3E74">
            <w:pPr>
              <w:pStyle w:val="Cuerpo"/>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Identificar Factores de Riesgo de ERC.</w:t>
            </w:r>
          </w:p>
          <w:p w:rsidR="00C42DEB" w:rsidRPr="0049306A" w:rsidRDefault="00C42DEB" w:rsidP="005D3E74">
            <w:pPr>
              <w:pStyle w:val="Cuerpo"/>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Detectar progresión de ERC.</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4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Deterioro FG.</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4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Aumento de proteinuria.</w:t>
            </w:r>
          </w:p>
          <w:p w:rsidR="00C42DEB" w:rsidRPr="0049306A" w:rsidRDefault="00C42DEB" w:rsidP="005D3E74">
            <w:pPr>
              <w:pStyle w:val="Cuerpo"/>
              <w:numPr>
                <w:ilvl w:val="0"/>
                <w:numId w:val="18"/>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Controlar FRCV asociados.</w:t>
            </w:r>
          </w:p>
        </w:tc>
        <w:tc>
          <w:tcPr>
            <w:tcW w:w="3402" w:type="dxa"/>
          </w:tcPr>
          <w:p w:rsidR="00C42DEB" w:rsidRPr="0049306A" w:rsidRDefault="00C42DEB" w:rsidP="005D3E74">
            <w:pPr>
              <w:pStyle w:val="Cuerpo"/>
              <w:numPr>
                <w:ilvl w:val="0"/>
                <w:numId w:val="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Valorar enf. renales subsidiarias de tratamiento específico:</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4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Glomerulonefritis primarias o secundaria.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4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Nefropatía isquémica.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4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Detectar progresión de ERC.</w:t>
            </w:r>
          </w:p>
        </w:tc>
      </w:tr>
      <w:tr w:rsidR="00C42DEB" w:rsidRPr="00914C78" w:rsidTr="005D3E74">
        <w:trPr>
          <w:trHeight w:val="315"/>
        </w:trPr>
        <w:tc>
          <w:tcPr>
            <w:tcW w:w="2552" w:type="dxa"/>
          </w:tcPr>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3a y 3b</w:t>
            </w:r>
          </w:p>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 xml:space="preserve">(FG 30-45 </w:t>
            </w:r>
            <w:r w:rsidRPr="00863413">
              <w:rPr>
                <w:rFonts w:cs="Arial"/>
                <w:color w:val="auto"/>
                <w:sz w:val="20"/>
              </w:rPr>
              <w:t>ml/min/1,73 m</w:t>
            </w:r>
            <w:r w:rsidRPr="00863413">
              <w:rPr>
                <w:rFonts w:cs="Arial"/>
                <w:color w:val="auto"/>
                <w:sz w:val="20"/>
                <w:vertAlign w:val="superscript"/>
              </w:rPr>
              <w:t>2</w:t>
            </w:r>
            <w:r w:rsidRPr="00863413">
              <w:rPr>
                <w:rFonts w:ascii="Arial" w:hAnsi="Arial"/>
                <w:color w:val="auto"/>
                <w:sz w:val="18"/>
                <w:szCs w:val="18"/>
              </w:rPr>
              <w:t>)</w:t>
            </w:r>
          </w:p>
        </w:tc>
        <w:tc>
          <w:tcPr>
            <w:tcW w:w="2976" w:type="dxa"/>
          </w:tcPr>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Detectar progresión de ERC.</w:t>
            </w:r>
          </w:p>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Controlar FRCV asociados.</w:t>
            </w:r>
          </w:p>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Ajuste de fármacos según el FG. Revisión de fármacos nefrotóxicos (p. ej. AINEs).</w:t>
            </w:r>
          </w:p>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Consejos higiénico-dietéticos.</w:t>
            </w:r>
          </w:p>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Vacunar frente a Neumococo, Influenza y VHB.</w:t>
            </w:r>
          </w:p>
          <w:p w:rsidR="00C42DEB" w:rsidRPr="0049306A" w:rsidRDefault="00C42DEB" w:rsidP="005D3E74">
            <w:pPr>
              <w:pStyle w:val="Cuerpo"/>
              <w:numPr>
                <w:ilvl w:val="0"/>
                <w:numId w:val="2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 xml:space="preserve">Detectar complicaciones de la ERC: </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Anemia.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Trastornos electrolíticos.</w:t>
            </w:r>
          </w:p>
        </w:tc>
        <w:tc>
          <w:tcPr>
            <w:tcW w:w="3402" w:type="dxa"/>
          </w:tcPr>
          <w:p w:rsidR="00C42DEB" w:rsidRPr="0049306A" w:rsidRDefault="00C42DEB" w:rsidP="005D3E74">
            <w:pPr>
              <w:pStyle w:val="Cuerpo"/>
              <w:numPr>
                <w:ilvl w:val="0"/>
                <w:numId w:val="2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Valorar enf. renales subsidiarias de tratamiento específico.</w:t>
            </w:r>
          </w:p>
          <w:p w:rsidR="00C42DEB" w:rsidRPr="0049306A" w:rsidRDefault="00C42DEB" w:rsidP="005D3E74">
            <w:pPr>
              <w:pStyle w:val="Cuerpo"/>
              <w:numPr>
                <w:ilvl w:val="0"/>
                <w:numId w:val="2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Controlar FRCV asociados.</w:t>
            </w:r>
          </w:p>
          <w:p w:rsidR="00C42DEB" w:rsidRPr="0049306A" w:rsidRDefault="00C42DEB" w:rsidP="005D3E74">
            <w:pPr>
              <w:pStyle w:val="Cuerpo"/>
              <w:numPr>
                <w:ilvl w:val="0"/>
                <w:numId w:val="2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Evaluar y tratar complicaciones de la ERC:</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 xml:space="preserve">Alteraciones del metabolismo óseo-mineral </w:t>
            </w:r>
            <w:r w:rsidRPr="0049306A">
              <w:rPr>
                <w:rFonts w:ascii="Arial" w:hAnsi="Arial"/>
                <w:b/>
                <w:color w:val="auto"/>
                <w:sz w:val="18"/>
                <w:szCs w:val="18"/>
              </w:rPr>
              <w:t>(Ca, P, PTH, vitamina D)</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Anemia.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Trastornos electrolíticos.</w:t>
            </w:r>
          </w:p>
        </w:tc>
      </w:tr>
      <w:tr w:rsidR="00C42DEB" w:rsidRPr="00914C78" w:rsidTr="005D3E74">
        <w:trPr>
          <w:trHeight w:val="315"/>
        </w:trPr>
        <w:tc>
          <w:tcPr>
            <w:tcW w:w="2552" w:type="dxa"/>
          </w:tcPr>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4</w:t>
            </w:r>
          </w:p>
          <w:p w:rsidR="00C42DEB" w:rsidRPr="00863413" w:rsidRDefault="00C42DEB" w:rsidP="005D3E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olor w:val="auto"/>
                <w:sz w:val="18"/>
                <w:szCs w:val="18"/>
              </w:rPr>
            </w:pPr>
            <w:r w:rsidRPr="00863413">
              <w:rPr>
                <w:rFonts w:ascii="Arial" w:hAnsi="Arial"/>
                <w:color w:val="auto"/>
                <w:sz w:val="18"/>
                <w:szCs w:val="18"/>
              </w:rPr>
              <w:t>(FG &lt; 30 mL/</w:t>
            </w:r>
            <w:r w:rsidRPr="00863413">
              <w:rPr>
                <w:rFonts w:cs="Arial"/>
                <w:color w:val="auto"/>
                <w:sz w:val="20"/>
                <w:lang w:val="en-US"/>
              </w:rPr>
              <w:t xml:space="preserve"> min/1,73 m</w:t>
            </w:r>
            <w:r w:rsidRPr="00863413">
              <w:rPr>
                <w:rFonts w:cs="Arial"/>
                <w:color w:val="auto"/>
                <w:sz w:val="20"/>
                <w:vertAlign w:val="superscript"/>
                <w:lang w:val="en-US"/>
              </w:rPr>
              <w:t>2</w:t>
            </w:r>
            <w:r w:rsidRPr="00863413">
              <w:rPr>
                <w:rFonts w:ascii="Arial" w:hAnsi="Arial"/>
                <w:color w:val="auto"/>
                <w:sz w:val="18"/>
                <w:szCs w:val="18"/>
                <w:lang w:val="en-US"/>
              </w:rPr>
              <w:t>)</w:t>
            </w:r>
          </w:p>
        </w:tc>
        <w:tc>
          <w:tcPr>
            <w:tcW w:w="2976" w:type="dxa"/>
          </w:tcPr>
          <w:p w:rsidR="00C42DEB" w:rsidRPr="0049306A" w:rsidRDefault="00C42DEB" w:rsidP="005D3E74">
            <w:pPr>
              <w:pStyle w:val="Cuerpo"/>
              <w:numPr>
                <w:ilvl w:val="0"/>
                <w:numId w:val="2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Ajuste de fármacos según el FG. Revisión de fármacos nefrotóxicos (p. ej. AINEs).</w:t>
            </w:r>
          </w:p>
          <w:p w:rsidR="00C42DEB" w:rsidRPr="0049306A" w:rsidRDefault="00C42DEB" w:rsidP="005D3E74">
            <w:pPr>
              <w:pStyle w:val="Cuerpo"/>
              <w:numPr>
                <w:ilvl w:val="0"/>
                <w:numId w:val="2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Consejos higiénico-dietéticos.</w:t>
            </w:r>
          </w:p>
          <w:p w:rsidR="00C42DEB" w:rsidRPr="0049306A" w:rsidRDefault="00C42DEB" w:rsidP="005D3E74">
            <w:pPr>
              <w:pStyle w:val="Cuerpo"/>
              <w:numPr>
                <w:ilvl w:val="0"/>
                <w:numId w:val="2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 xml:space="preserve">Detectar complicaciones de la ERC: </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Anemia.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Trastornos electrolíticos.</w:t>
            </w:r>
          </w:p>
        </w:tc>
        <w:tc>
          <w:tcPr>
            <w:tcW w:w="3402" w:type="dxa"/>
          </w:tcPr>
          <w:p w:rsidR="00C42DEB" w:rsidRPr="0049306A" w:rsidRDefault="00C42DEB" w:rsidP="005D3E74">
            <w:pPr>
              <w:pStyle w:val="Cuerpo"/>
              <w:numPr>
                <w:ilvl w:val="0"/>
                <w:numId w:val="2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Preparar para el tto. renal</w:t>
            </w:r>
          </w:p>
          <w:p w:rsidR="00C42DEB" w:rsidRPr="0049306A" w:rsidRDefault="00C42DEB" w:rsidP="005D3E74">
            <w:pPr>
              <w:pStyle w:val="Cuerpo"/>
              <w:numPr>
                <w:ilvl w:val="0"/>
                <w:numId w:val="2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sustitutivo si procede.</w:t>
            </w:r>
          </w:p>
          <w:p w:rsidR="00C42DEB" w:rsidRPr="00791A0D" w:rsidRDefault="00C42DEB" w:rsidP="005D3E74">
            <w:pPr>
              <w:pStyle w:val="Cuerpo"/>
              <w:numPr>
                <w:ilvl w:val="0"/>
                <w:numId w:val="2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jc w:val="both"/>
              <w:rPr>
                <w:rFonts w:ascii="Arial" w:hAnsi="Arial"/>
                <w:color w:val="auto"/>
                <w:sz w:val="18"/>
                <w:szCs w:val="18"/>
                <w:lang w:val="it-IT"/>
              </w:rPr>
            </w:pPr>
            <w:r w:rsidRPr="008B1435">
              <w:rPr>
                <w:rFonts w:ascii="Arial" w:hAnsi="Arial"/>
                <w:color w:val="auto"/>
                <w:sz w:val="18"/>
                <w:szCs w:val="18"/>
                <w:lang w:val="it-IT"/>
              </w:rPr>
              <w:t>Organizar tto. paliativo si no procede tto. sustitutivo.</w:t>
            </w:r>
          </w:p>
          <w:p w:rsidR="00C42DEB" w:rsidRPr="0049306A" w:rsidRDefault="00C42DEB" w:rsidP="005D3E74">
            <w:pPr>
              <w:pStyle w:val="Cuerpo"/>
              <w:numPr>
                <w:ilvl w:val="0"/>
                <w:numId w:val="2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13"/>
              <w:rPr>
                <w:rFonts w:ascii="Arial" w:hAnsi="Arial"/>
                <w:color w:val="auto"/>
                <w:sz w:val="18"/>
                <w:szCs w:val="18"/>
              </w:rPr>
            </w:pPr>
            <w:r w:rsidRPr="0049306A">
              <w:rPr>
                <w:rFonts w:ascii="Arial" w:hAnsi="Arial"/>
                <w:color w:val="auto"/>
                <w:sz w:val="18"/>
                <w:szCs w:val="18"/>
              </w:rPr>
              <w:t>Evaluar y tratar complicaciones de la ERC:</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 xml:space="preserve">Alteraciones del metabolismo óseo-mineral </w:t>
            </w:r>
            <w:r w:rsidRPr="0049306A">
              <w:rPr>
                <w:rFonts w:ascii="Arial" w:hAnsi="Arial"/>
                <w:b/>
                <w:color w:val="auto"/>
                <w:sz w:val="18"/>
                <w:szCs w:val="18"/>
              </w:rPr>
              <w:t>(Ca, P, PTH, vitamina D)</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Anemia.</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Trastornos electrolíticos.</w:t>
            </w:r>
          </w:p>
          <w:p w:rsidR="00C42DEB" w:rsidRPr="0049306A" w:rsidRDefault="00C42DEB" w:rsidP="005D3E74">
            <w:pPr>
              <w:pStyle w:val="Cuerpo"/>
              <w:numPr>
                <w:ilvl w:val="1"/>
                <w:numId w:val="20"/>
              </w:numPr>
              <w:tabs>
                <w:tab w:val="clear" w:pos="113"/>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742"/>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42" w:hanging="141"/>
              <w:rPr>
                <w:rFonts w:ascii="Arial" w:hAnsi="Arial"/>
                <w:color w:val="auto"/>
                <w:sz w:val="18"/>
                <w:szCs w:val="18"/>
              </w:rPr>
            </w:pPr>
            <w:r w:rsidRPr="0049306A">
              <w:rPr>
                <w:rFonts w:ascii="Arial" w:hAnsi="Arial"/>
                <w:color w:val="auto"/>
                <w:sz w:val="18"/>
                <w:szCs w:val="18"/>
              </w:rPr>
              <w:t>Acidosis.</w:t>
            </w:r>
          </w:p>
        </w:tc>
      </w:tr>
    </w:tbl>
    <w:p w:rsidR="00C42DEB" w:rsidRDefault="00C42DEB" w:rsidP="001845AD">
      <w:pPr>
        <w:spacing w:before="120" w:after="120"/>
        <w:ind w:left="1418"/>
        <w:rPr>
          <w:rFonts w:cs="Arial"/>
          <w:b/>
          <w:sz w:val="20"/>
          <w:szCs w:val="20"/>
        </w:rPr>
      </w:pPr>
    </w:p>
    <w:p w:rsidR="00C42DEB" w:rsidRDefault="00C42DEB" w:rsidP="001845AD">
      <w:pPr>
        <w:spacing w:before="120" w:after="120"/>
        <w:ind w:left="1418"/>
        <w:rPr>
          <w:rFonts w:cs="Arial"/>
          <w:b/>
          <w:sz w:val="20"/>
          <w:szCs w:val="20"/>
        </w:rPr>
      </w:pPr>
      <w:r w:rsidRPr="00987E43">
        <w:rPr>
          <w:rFonts w:cs="Arial"/>
          <w:b/>
          <w:sz w:val="20"/>
          <w:szCs w:val="20"/>
        </w:rPr>
        <w:t>Seguimiento</w:t>
      </w:r>
    </w:p>
    <w:p w:rsidR="00C42DEB" w:rsidRPr="00B426A2" w:rsidRDefault="00C42DEB" w:rsidP="001845AD">
      <w:pPr>
        <w:spacing w:before="120" w:after="120"/>
        <w:ind w:left="1418"/>
        <w:rPr>
          <w:rFonts w:cs="Arial"/>
          <w:sz w:val="20"/>
          <w:szCs w:val="20"/>
        </w:rPr>
      </w:pPr>
      <w:r w:rsidRPr="00B426A2">
        <w:rPr>
          <w:rFonts w:cs="Arial"/>
          <w:sz w:val="20"/>
          <w:szCs w:val="20"/>
        </w:rPr>
        <w:t>Los pacientes con ERC 4-5 han de ser controlados preferentemente por el nefrólogo, en estrecha colaboración con el médico de AP y la enfermería.</w:t>
      </w:r>
    </w:p>
    <w:p w:rsidR="00C42DEB" w:rsidRPr="00B426A2" w:rsidRDefault="00C42DEB" w:rsidP="001845AD">
      <w:pPr>
        <w:spacing w:before="120" w:after="120"/>
        <w:ind w:left="1418"/>
        <w:rPr>
          <w:rFonts w:cs="Arial"/>
          <w:sz w:val="20"/>
          <w:szCs w:val="20"/>
        </w:rPr>
      </w:pPr>
      <w:r w:rsidRPr="00B426A2">
        <w:rPr>
          <w:rFonts w:cs="Arial"/>
          <w:sz w:val="20"/>
          <w:szCs w:val="20"/>
        </w:rPr>
        <w:t xml:space="preserve">La frecuencia de visitas debe establecerse cada 3 meses en ERC 4 e incluso cada mes en ERC 5 prediálisis. Esta frecuencia podrá ser modificada según criterio médico. </w:t>
      </w:r>
    </w:p>
    <w:p w:rsidR="00C42DEB" w:rsidRPr="00B426A2" w:rsidRDefault="00C42DEB" w:rsidP="001845AD">
      <w:pPr>
        <w:spacing w:before="120" w:after="120"/>
        <w:ind w:left="1418"/>
        <w:rPr>
          <w:rFonts w:cs="Arial"/>
          <w:sz w:val="20"/>
          <w:szCs w:val="20"/>
        </w:rPr>
      </w:pPr>
      <w:r w:rsidRPr="00B426A2">
        <w:rPr>
          <w:rFonts w:cs="Arial"/>
          <w:sz w:val="20"/>
          <w:szCs w:val="20"/>
        </w:rPr>
        <w:t xml:space="preserve">La frecuencia de las visitas ha de individualizarse. En cada visita es aconsejable aportar información mínima detallada sobre posible alta hospitalaria, analítica, modificaciones en el tratamiento, su justificación y, si procede, una valoración </w:t>
      </w:r>
      <w:r>
        <w:rPr>
          <w:rFonts w:cs="Arial"/>
          <w:sz w:val="20"/>
          <w:szCs w:val="20"/>
        </w:rPr>
        <w:t>pronó</w:t>
      </w:r>
      <w:r w:rsidRPr="00B426A2">
        <w:rPr>
          <w:rFonts w:cs="Arial"/>
          <w:sz w:val="20"/>
          <w:szCs w:val="20"/>
        </w:rPr>
        <w:t>stica. La fluidez de la comunicación garantizará la continuidad asistencial del proceso crónico  del paciente.</w:t>
      </w:r>
    </w:p>
    <w:p w:rsidR="00C42DEB" w:rsidRPr="006F1FBE" w:rsidRDefault="00C42DEB" w:rsidP="003F020D">
      <w:pPr>
        <w:pStyle w:val="Ttulo3"/>
        <w:numPr>
          <w:ilvl w:val="0"/>
          <w:numId w:val="35"/>
        </w:numPr>
        <w:rPr>
          <w:rFonts w:ascii="Arial" w:hAnsi="Arial" w:cs="Arial"/>
          <w:sz w:val="20"/>
          <w:szCs w:val="20"/>
        </w:rPr>
      </w:pPr>
      <w:r w:rsidRPr="006F1FBE">
        <w:rPr>
          <w:rFonts w:ascii="Arial" w:hAnsi="Arial" w:cs="Arial"/>
          <w:sz w:val="20"/>
          <w:szCs w:val="20"/>
        </w:rPr>
        <w:t xml:space="preserve">Funciones del Médico de </w:t>
      </w:r>
      <w:r>
        <w:rPr>
          <w:rFonts w:ascii="Arial" w:hAnsi="Arial" w:cs="Arial"/>
          <w:sz w:val="20"/>
          <w:szCs w:val="20"/>
        </w:rPr>
        <w:t>atención primaria y otros especialistas</w:t>
      </w:r>
      <w:r w:rsidRPr="006F1FBE">
        <w:rPr>
          <w:rFonts w:ascii="Arial" w:hAnsi="Arial" w:cs="Arial"/>
          <w:sz w:val="20"/>
          <w:szCs w:val="20"/>
        </w:rPr>
        <w:t xml:space="preserve"> en el abordaje y seguimiento de la ERC</w:t>
      </w:r>
      <w:r>
        <w:rPr>
          <w:rFonts w:ascii="Arial" w:hAnsi="Arial" w:cs="Arial"/>
          <w:sz w:val="20"/>
          <w:szCs w:val="20"/>
        </w:rPr>
        <w:t xml:space="preserve"> condicionado por el </w:t>
      </w:r>
      <w:r w:rsidRPr="00B426A2">
        <w:rPr>
          <w:rFonts w:ascii="Arial" w:hAnsi="Arial" w:cs="Arial"/>
          <w:sz w:val="20"/>
          <w:szCs w:val="20"/>
        </w:rPr>
        <w:t>estadio de la</w:t>
      </w:r>
      <w:r w:rsidRPr="006F1FBE">
        <w:rPr>
          <w:rFonts w:ascii="Arial" w:hAnsi="Arial" w:cs="Arial"/>
          <w:sz w:val="20"/>
          <w:szCs w:val="20"/>
        </w:rPr>
        <w:t xml:space="preserve"> enfermedad</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Seguimiento de los</w:t>
      </w:r>
      <w:r>
        <w:rPr>
          <w:rFonts w:cs="Arial"/>
          <w:sz w:val="20"/>
          <w:szCs w:val="20"/>
        </w:rPr>
        <w:t xml:space="preserve"> </w:t>
      </w:r>
      <w:r w:rsidRPr="00987E43">
        <w:rPr>
          <w:rFonts w:cs="Arial"/>
          <w:sz w:val="20"/>
          <w:szCs w:val="20"/>
        </w:rPr>
        <w:t>pacientes</w:t>
      </w:r>
      <w:r>
        <w:rPr>
          <w:rFonts w:cs="Arial"/>
          <w:sz w:val="20"/>
          <w:szCs w:val="20"/>
        </w:rPr>
        <w:t xml:space="preserve"> de edad avanzada</w:t>
      </w:r>
      <w:r w:rsidRPr="00987E43">
        <w:rPr>
          <w:rFonts w:cs="Arial"/>
          <w:sz w:val="20"/>
          <w:szCs w:val="20"/>
        </w:rPr>
        <w:t>, con FG estable, que por motivos de edad, calidad</w:t>
      </w:r>
      <w:r>
        <w:rPr>
          <w:rFonts w:cs="Arial"/>
          <w:sz w:val="20"/>
          <w:szCs w:val="20"/>
        </w:rPr>
        <w:t xml:space="preserve"> </w:t>
      </w:r>
      <w:r w:rsidRPr="00987E43">
        <w:rPr>
          <w:rFonts w:cs="Arial"/>
          <w:sz w:val="20"/>
          <w:szCs w:val="20"/>
        </w:rPr>
        <w:t>de vida u otros,</w:t>
      </w:r>
      <w:r>
        <w:rPr>
          <w:rFonts w:cs="Arial"/>
          <w:sz w:val="20"/>
          <w:szCs w:val="20"/>
        </w:rPr>
        <w:t xml:space="preserve"> </w:t>
      </w:r>
      <w:r w:rsidRPr="00987E43">
        <w:rPr>
          <w:rFonts w:cs="Arial"/>
          <w:sz w:val="20"/>
          <w:szCs w:val="20"/>
        </w:rPr>
        <w:t>no sean tributarios de TRS y no reciban agentes estimulantes de la eritropoyesis (AEE) y/o medicación para el HPTS.</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Control de los factores de riesgo cardiovascular.</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Vigilancia de</w:t>
      </w:r>
      <w:r>
        <w:rPr>
          <w:rFonts w:cs="Arial"/>
          <w:sz w:val="20"/>
          <w:szCs w:val="20"/>
        </w:rPr>
        <w:t xml:space="preserve"> </w:t>
      </w:r>
      <w:r w:rsidRPr="00987E43">
        <w:rPr>
          <w:rFonts w:cs="Arial"/>
          <w:sz w:val="20"/>
          <w:szCs w:val="20"/>
        </w:rPr>
        <w:t>factores de progresión de la E</w:t>
      </w:r>
      <w:r>
        <w:rPr>
          <w:rFonts w:cs="Arial"/>
          <w:sz w:val="20"/>
          <w:szCs w:val="20"/>
        </w:rPr>
        <w:t>RC.</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Vigilancia de</w:t>
      </w:r>
      <w:r>
        <w:rPr>
          <w:rFonts w:cs="Arial"/>
          <w:sz w:val="20"/>
          <w:szCs w:val="20"/>
        </w:rPr>
        <w:t xml:space="preserve"> </w:t>
      </w:r>
      <w:r w:rsidRPr="00987E43">
        <w:rPr>
          <w:rFonts w:cs="Arial"/>
          <w:sz w:val="20"/>
          <w:szCs w:val="20"/>
        </w:rPr>
        <w:t xml:space="preserve">la </w:t>
      </w:r>
      <w:r w:rsidRPr="00FD61EE">
        <w:rPr>
          <w:rFonts w:cs="Arial"/>
          <w:b/>
          <w:sz w:val="20"/>
          <w:szCs w:val="20"/>
        </w:rPr>
        <w:t>nefrotoxicidad para evitar la yatrogenia</w:t>
      </w:r>
      <w:r w:rsidRPr="00987E43">
        <w:rPr>
          <w:rFonts w:cs="Arial"/>
          <w:sz w:val="20"/>
          <w:szCs w:val="20"/>
        </w:rPr>
        <w:t xml:space="preserve"> en cualquier</w:t>
      </w:r>
      <w:r>
        <w:rPr>
          <w:rFonts w:cs="Arial"/>
          <w:sz w:val="20"/>
          <w:szCs w:val="20"/>
        </w:rPr>
        <w:t xml:space="preserve"> </w:t>
      </w:r>
      <w:r w:rsidRPr="00987E43">
        <w:rPr>
          <w:rFonts w:cs="Arial"/>
          <w:sz w:val="20"/>
          <w:szCs w:val="20"/>
        </w:rPr>
        <w:t xml:space="preserve">proceso. El paciente con insuficiencia renal (ERC 3-5) y muy especialmente el anciano es muy susceptible a la yatrogenia. Debe prestarse </w:t>
      </w:r>
      <w:r w:rsidRPr="00CE3260">
        <w:rPr>
          <w:rFonts w:cs="Arial"/>
          <w:sz w:val="20"/>
          <w:szCs w:val="20"/>
        </w:rPr>
        <w:t>especial atención a: -evitar siempre que sea posible el uso de AINEs, -evitar la hiperpotasemia asociada al uso de fármacos, evitar o adaptar las dosis de ADOs, según el caso, , - evitar en lo</w:t>
      </w:r>
      <w:r w:rsidRPr="00987E43">
        <w:rPr>
          <w:rFonts w:cs="Arial"/>
          <w:sz w:val="20"/>
          <w:szCs w:val="20"/>
        </w:rPr>
        <w:t xml:space="preserve"> posible el uso de contrastes yodados, -ajustando cualquier fármaco al FG del paciente. En caso de que se prescriban</w:t>
      </w:r>
      <w:r>
        <w:rPr>
          <w:rFonts w:cs="Arial"/>
          <w:sz w:val="20"/>
          <w:szCs w:val="20"/>
        </w:rPr>
        <w:t xml:space="preserve"> </w:t>
      </w:r>
      <w:r w:rsidRPr="00987E43">
        <w:rPr>
          <w:rFonts w:cs="Arial"/>
          <w:sz w:val="20"/>
          <w:szCs w:val="20"/>
        </w:rPr>
        <w:t>fármacos o se hagan procedimientos potencialmente nefrotóxicos, es necesario monitorizar la evolución de la función renal</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lastRenderedPageBreak/>
        <w:t>Participación</w:t>
      </w:r>
      <w:r>
        <w:rPr>
          <w:rFonts w:cs="Arial"/>
          <w:sz w:val="20"/>
          <w:szCs w:val="20"/>
        </w:rPr>
        <w:t xml:space="preserve"> </w:t>
      </w:r>
      <w:r w:rsidRPr="00987E43">
        <w:rPr>
          <w:rFonts w:cs="Arial"/>
          <w:sz w:val="20"/>
          <w:szCs w:val="20"/>
        </w:rPr>
        <w:t>en el cumplimiento terapéutico y</w:t>
      </w:r>
      <w:r>
        <w:rPr>
          <w:rFonts w:cs="Arial"/>
          <w:sz w:val="20"/>
          <w:szCs w:val="20"/>
        </w:rPr>
        <w:t xml:space="preserve"> </w:t>
      </w:r>
      <w:r w:rsidRPr="00987E43">
        <w:rPr>
          <w:rFonts w:cs="Arial"/>
          <w:sz w:val="20"/>
          <w:szCs w:val="20"/>
        </w:rPr>
        <w:t xml:space="preserve">derivación a </w:t>
      </w:r>
      <w:r>
        <w:rPr>
          <w:rFonts w:cs="Arial"/>
          <w:sz w:val="20"/>
          <w:szCs w:val="20"/>
        </w:rPr>
        <w:t>Nefrología</w:t>
      </w:r>
      <w:r w:rsidRPr="00987E43">
        <w:rPr>
          <w:rFonts w:cs="Arial"/>
          <w:sz w:val="20"/>
          <w:szCs w:val="20"/>
        </w:rPr>
        <w:t xml:space="preserve"> en caso de empeoramiento agudo de la función rena</w:t>
      </w:r>
      <w:r w:rsidR="005375DB">
        <w:rPr>
          <w:rFonts w:cs="Arial"/>
          <w:sz w:val="20"/>
          <w:szCs w:val="20"/>
        </w:rPr>
        <w:t>l o aparición de complicaciones.</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 xml:space="preserve">Vacunación: VHB, </w:t>
      </w:r>
      <w:r>
        <w:rPr>
          <w:rFonts w:cs="Arial"/>
          <w:sz w:val="20"/>
          <w:szCs w:val="20"/>
        </w:rPr>
        <w:t xml:space="preserve"> neumococo (en ERC-5 y repetir a los 5 años)</w:t>
      </w:r>
      <w:r w:rsidRPr="00987E43">
        <w:rPr>
          <w:rFonts w:cs="Arial"/>
          <w:sz w:val="20"/>
          <w:szCs w:val="20"/>
        </w:rPr>
        <w:t>, gripe, otros</w:t>
      </w:r>
    </w:p>
    <w:p w:rsidR="00C42DEB" w:rsidRDefault="00C42DEB" w:rsidP="001845AD">
      <w:pPr>
        <w:numPr>
          <w:ilvl w:val="1"/>
          <w:numId w:val="5"/>
        </w:numPr>
        <w:spacing w:before="120" w:after="120"/>
        <w:ind w:left="1843" w:hanging="283"/>
        <w:rPr>
          <w:rFonts w:cs="Arial"/>
          <w:sz w:val="20"/>
          <w:szCs w:val="20"/>
        </w:rPr>
      </w:pPr>
      <w:r>
        <w:rPr>
          <w:rFonts w:cs="Arial"/>
          <w:sz w:val="20"/>
          <w:szCs w:val="20"/>
        </w:rPr>
        <w:t>Colaboración en la</w:t>
      </w:r>
      <w:r w:rsidRPr="00987E43">
        <w:rPr>
          <w:rFonts w:cs="Arial"/>
          <w:sz w:val="20"/>
          <w:szCs w:val="20"/>
        </w:rPr>
        <w:t>s actividades paliativas.</w:t>
      </w:r>
    </w:p>
    <w:p w:rsidR="00C42DEB" w:rsidRPr="00987E43" w:rsidRDefault="00C42DEB" w:rsidP="001845AD">
      <w:pPr>
        <w:spacing w:before="120" w:after="120"/>
        <w:ind w:left="1418"/>
        <w:rPr>
          <w:rFonts w:cs="Arial"/>
          <w:b/>
          <w:sz w:val="20"/>
          <w:szCs w:val="20"/>
        </w:rPr>
      </w:pPr>
      <w:r w:rsidRPr="00987E43">
        <w:rPr>
          <w:rFonts w:cs="Arial"/>
          <w:b/>
          <w:sz w:val="20"/>
          <w:szCs w:val="20"/>
        </w:rPr>
        <w:t>Claves para el manejo del paciente en hemodiálisis/ diálisis peritoneal desde la AP</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Comunicación temprana y clara.</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Facilitación del proceso de adaptación a la enfermedad en función de la edad, la situación familiar, las condiciones de formación y laborales, la forma de aparición y desarrollo de la enfermedad, la confianza en el sistema sanitario, etc.</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Conocimiento por parte del médico de familia de las diferentes opciones e implementación de las mismas (periodicidad, lugar de realización, posibles complicaci</w:t>
      </w:r>
      <w:r>
        <w:rPr>
          <w:rFonts w:cs="Arial"/>
          <w:sz w:val="20"/>
          <w:szCs w:val="20"/>
        </w:rPr>
        <w:t>ones según alternativa elegida</w:t>
      </w:r>
      <w:r w:rsidRPr="00987E43">
        <w:rPr>
          <w:rFonts w:cs="Arial"/>
          <w:sz w:val="20"/>
          <w:szCs w:val="20"/>
        </w:rPr>
        <w:t>)</w:t>
      </w:r>
      <w:r>
        <w:rPr>
          <w:rFonts w:cs="Arial"/>
          <w:sz w:val="20"/>
          <w:szCs w:val="20"/>
        </w:rPr>
        <w:t>.</w:t>
      </w:r>
    </w:p>
    <w:p w:rsidR="00C42DEB" w:rsidRPr="00987E43" w:rsidRDefault="00C42DEB" w:rsidP="001845AD">
      <w:pPr>
        <w:numPr>
          <w:ilvl w:val="1"/>
          <w:numId w:val="5"/>
        </w:numPr>
        <w:spacing w:before="120" w:after="120"/>
        <w:ind w:left="1843" w:hanging="283"/>
        <w:rPr>
          <w:rFonts w:cs="Arial"/>
          <w:sz w:val="20"/>
          <w:szCs w:val="20"/>
        </w:rPr>
      </w:pPr>
      <w:r w:rsidRPr="00987E43">
        <w:rPr>
          <w:rFonts w:cs="Arial"/>
          <w:sz w:val="20"/>
          <w:szCs w:val="20"/>
        </w:rPr>
        <w:t>Optima relación y canal de comunicación con el Servicio de Nefrología de referencia.</w:t>
      </w:r>
    </w:p>
    <w:p w:rsidR="00C42DEB" w:rsidRPr="00987E43" w:rsidRDefault="00C42DEB" w:rsidP="001845AD">
      <w:pPr>
        <w:spacing w:before="120" w:after="120"/>
        <w:ind w:left="1418"/>
        <w:rPr>
          <w:rFonts w:cs="Arial"/>
          <w:b/>
          <w:sz w:val="20"/>
          <w:szCs w:val="20"/>
        </w:rPr>
      </w:pPr>
      <w:r w:rsidRPr="00987E43">
        <w:rPr>
          <w:rFonts w:cs="Arial"/>
          <w:b/>
          <w:sz w:val="20"/>
          <w:szCs w:val="20"/>
        </w:rPr>
        <w:t>Claves para el seguimiento de la uremia terminal en domicilio. Tratamiento</w:t>
      </w:r>
      <w:r>
        <w:rPr>
          <w:rFonts w:cs="Arial"/>
          <w:b/>
          <w:sz w:val="20"/>
          <w:szCs w:val="20"/>
        </w:rPr>
        <w:t xml:space="preserve"> conservador.</w:t>
      </w:r>
    </w:p>
    <w:p w:rsidR="00C42DEB" w:rsidRPr="00CE3260" w:rsidRDefault="00C42DEB" w:rsidP="001845AD">
      <w:pPr>
        <w:spacing w:before="120" w:after="120"/>
        <w:ind w:left="1418"/>
        <w:rPr>
          <w:rFonts w:cs="Arial"/>
          <w:sz w:val="20"/>
          <w:szCs w:val="20"/>
        </w:rPr>
      </w:pPr>
      <w:r w:rsidRPr="00987E43">
        <w:rPr>
          <w:rFonts w:cs="Arial"/>
          <w:sz w:val="20"/>
          <w:szCs w:val="20"/>
        </w:rPr>
        <w:t xml:space="preserve">El manejo domiciliario de la uremia terminal en el domicilio tiene como objetivo facilitar el bienestar del paciente </w:t>
      </w:r>
      <w:r w:rsidRPr="00CE3260">
        <w:rPr>
          <w:rFonts w:cs="Arial"/>
          <w:sz w:val="20"/>
          <w:szCs w:val="20"/>
        </w:rPr>
        <w:t xml:space="preserve">urémico que no puede ser sometido a diálisis, minimizando el impacto físico, familiar y asistencial de su condición, y optimizando los recursos de que dispone nuestro Sistema Nacional de Salud. Requiere una coordinación estrecha entre el Servicio de Nefrología y </w:t>
      </w:r>
      <w:r>
        <w:rPr>
          <w:rFonts w:cs="Arial"/>
          <w:sz w:val="20"/>
          <w:szCs w:val="20"/>
        </w:rPr>
        <w:t>atención primaria</w:t>
      </w:r>
      <w:r w:rsidRPr="00CE3260">
        <w:rPr>
          <w:rFonts w:cs="Arial"/>
          <w:sz w:val="20"/>
          <w:szCs w:val="20"/>
        </w:rPr>
        <w:t xml:space="preserve">. En aquellas áreas sanitarias donde existan Equipos de Soporte Domiciliario ya sean dependientes de </w:t>
      </w:r>
      <w:r>
        <w:rPr>
          <w:rFonts w:cs="Arial"/>
          <w:sz w:val="20"/>
          <w:szCs w:val="20"/>
        </w:rPr>
        <w:t>atención primaria</w:t>
      </w:r>
      <w:r w:rsidRPr="00CE3260">
        <w:rPr>
          <w:rFonts w:cs="Arial"/>
          <w:sz w:val="20"/>
          <w:szCs w:val="20"/>
        </w:rPr>
        <w:t xml:space="preserve"> o de Atención Especializada puede ser extraordinariamente útil su inclusión en el equipo terapéutico</w:t>
      </w:r>
    </w:p>
    <w:p w:rsidR="00C42DEB" w:rsidRPr="00CE3260" w:rsidRDefault="00C42DEB" w:rsidP="001845AD">
      <w:pPr>
        <w:numPr>
          <w:ilvl w:val="0"/>
          <w:numId w:val="6"/>
        </w:numPr>
        <w:spacing w:before="120" w:after="120"/>
        <w:ind w:left="1843" w:hanging="283"/>
        <w:rPr>
          <w:rFonts w:cs="Arial"/>
          <w:b/>
          <w:sz w:val="20"/>
          <w:szCs w:val="20"/>
        </w:rPr>
      </w:pPr>
      <w:r w:rsidRPr="00CE3260">
        <w:rPr>
          <w:rFonts w:cs="Arial"/>
          <w:b/>
          <w:sz w:val="20"/>
          <w:szCs w:val="20"/>
        </w:rPr>
        <w:t>Recomendaciones.</w:t>
      </w:r>
    </w:p>
    <w:p w:rsidR="00C42DEB" w:rsidRPr="00CE3260" w:rsidRDefault="00C42DEB" w:rsidP="001845AD">
      <w:pPr>
        <w:spacing w:before="120" w:after="120"/>
        <w:ind w:left="1843"/>
        <w:rPr>
          <w:rFonts w:cs="Arial"/>
          <w:sz w:val="20"/>
          <w:szCs w:val="20"/>
        </w:rPr>
      </w:pPr>
      <w:r w:rsidRPr="00CE3260">
        <w:rPr>
          <w:rFonts w:cs="Arial"/>
          <w:b/>
          <w:sz w:val="20"/>
          <w:szCs w:val="20"/>
        </w:rPr>
        <w:t>Individualización de la decisión</w:t>
      </w:r>
      <w:r w:rsidRPr="00CE3260">
        <w:rPr>
          <w:rFonts w:cs="Arial"/>
          <w:sz w:val="20"/>
          <w:szCs w:val="20"/>
        </w:rPr>
        <w:t xml:space="preserve"> de acuerdo con el paciente, su familia y los  profesionales. Es útil que la decisión se tome precozmente, ya que permite organizar el seguimiento antes de que se haya producido un deterioro especialmente significativo del paciente.</w:t>
      </w:r>
    </w:p>
    <w:p w:rsidR="00C42DEB" w:rsidRPr="00CE3260" w:rsidRDefault="00C42DEB" w:rsidP="00F46CD8">
      <w:pPr>
        <w:spacing w:before="120" w:after="120"/>
        <w:ind w:left="1843"/>
        <w:rPr>
          <w:rFonts w:cs="Arial"/>
          <w:bCs/>
          <w:sz w:val="20"/>
          <w:szCs w:val="20"/>
        </w:rPr>
      </w:pPr>
      <w:r w:rsidRPr="00CE3260">
        <w:rPr>
          <w:rFonts w:cs="Arial"/>
          <w:sz w:val="20"/>
          <w:szCs w:val="20"/>
        </w:rPr>
        <w:t xml:space="preserve">El manejo conservador debe ser una opción en pacientes que no deseen hincar  terapia renal sustitutiva utilizando un programa completo de manejo conservador </w:t>
      </w:r>
    </w:p>
    <w:p w:rsidR="00C42DEB" w:rsidRPr="00CE3260" w:rsidRDefault="00C42DEB" w:rsidP="00F46CD8">
      <w:pPr>
        <w:spacing w:before="120" w:after="120"/>
        <w:ind w:left="1843"/>
        <w:rPr>
          <w:rFonts w:ascii="Calibri" w:hAnsi="Calibri"/>
          <w:sz w:val="56"/>
          <w:szCs w:val="56"/>
        </w:rPr>
      </w:pPr>
      <w:r w:rsidRPr="00CE3260">
        <w:rPr>
          <w:rFonts w:cs="Arial"/>
          <w:sz w:val="20"/>
          <w:szCs w:val="20"/>
        </w:rPr>
        <w:t xml:space="preserve">Todos los programas de ERC deberían desarrollar un programa de cuidados avanzados para pacientes que necesiten cuidados al final de la vida, incluyendo aquellos pacientes  en Tratamiento renal conservador </w:t>
      </w:r>
    </w:p>
    <w:p w:rsidR="00C42DEB" w:rsidRPr="00CE3260" w:rsidRDefault="00C42DEB" w:rsidP="00F46CD8">
      <w:pPr>
        <w:spacing w:before="120" w:after="120"/>
        <w:ind w:left="1843"/>
        <w:rPr>
          <w:rFonts w:cs="Arial"/>
          <w:bCs/>
          <w:sz w:val="20"/>
          <w:szCs w:val="20"/>
        </w:rPr>
      </w:pPr>
      <w:r w:rsidRPr="00CE3260">
        <w:rPr>
          <w:rFonts w:cs="Arial"/>
          <w:bCs/>
          <w:sz w:val="20"/>
          <w:szCs w:val="20"/>
        </w:rPr>
        <w:t xml:space="preserve">Los pacientes y familiares deberían disponer de cuidados  coordinados al final de la vida, contando con atención  primaria y cuidados de especialista en Cuidados </w:t>
      </w:r>
      <w:r w:rsidR="00651852" w:rsidRPr="00CE3260">
        <w:rPr>
          <w:rFonts w:cs="Arial"/>
          <w:bCs/>
          <w:sz w:val="20"/>
          <w:szCs w:val="20"/>
        </w:rPr>
        <w:t xml:space="preserve">Paliativos. </w:t>
      </w:r>
    </w:p>
    <w:p w:rsidR="00C42DEB" w:rsidRPr="00CE3260" w:rsidRDefault="00C42DEB" w:rsidP="00F46CD8">
      <w:pPr>
        <w:spacing w:before="120" w:after="120"/>
        <w:ind w:left="1843"/>
        <w:rPr>
          <w:rFonts w:cs="Arial"/>
          <w:b/>
          <w:bCs/>
          <w:sz w:val="20"/>
          <w:szCs w:val="20"/>
        </w:rPr>
      </w:pPr>
    </w:p>
    <w:p w:rsidR="00C42DEB" w:rsidRDefault="00C42DEB"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7908A6" w:rsidRDefault="007908A6" w:rsidP="00BC0690">
      <w:pPr>
        <w:spacing w:before="120" w:after="120"/>
        <w:rPr>
          <w:rFonts w:cs="Arial"/>
          <w:sz w:val="20"/>
          <w:szCs w:val="20"/>
        </w:rPr>
      </w:pPr>
    </w:p>
    <w:p w:rsidR="00AA0B48" w:rsidRPr="00CE3260" w:rsidRDefault="00AA0B48" w:rsidP="00BC0690">
      <w:pPr>
        <w:spacing w:before="120" w:after="120"/>
        <w:rPr>
          <w:rFonts w:cs="Arial"/>
          <w:sz w:val="20"/>
          <w:szCs w:val="20"/>
        </w:rPr>
      </w:pPr>
    </w:p>
    <w:p w:rsidR="00C42DEB" w:rsidRPr="00CE3260" w:rsidRDefault="00C42DEB" w:rsidP="001845AD">
      <w:pPr>
        <w:spacing w:before="120" w:after="120"/>
        <w:ind w:left="1843"/>
        <w:rPr>
          <w:rFonts w:cs="Arial"/>
          <w:sz w:val="20"/>
          <w:szCs w:val="20"/>
        </w:rPr>
      </w:pPr>
    </w:p>
    <w:p w:rsidR="00C42DEB" w:rsidRPr="00CE3260" w:rsidRDefault="00C42DEB" w:rsidP="000B78E6">
      <w:pPr>
        <w:spacing w:before="120" w:after="120"/>
        <w:ind w:left="1418"/>
        <w:jc w:val="left"/>
        <w:rPr>
          <w:rFonts w:cs="Arial"/>
          <w:b/>
          <w:sz w:val="20"/>
          <w:szCs w:val="20"/>
        </w:rPr>
      </w:pPr>
      <w:r w:rsidRPr="00CE3260">
        <w:rPr>
          <w:rFonts w:cs="Arial"/>
          <w:b/>
          <w:sz w:val="20"/>
          <w:szCs w:val="20"/>
        </w:rPr>
        <w:lastRenderedPageBreak/>
        <w:t>PROFESIONALES QUE HAN COLABORADO EN LA ELABORACIÓN DEL DOCUMENTO:</w:t>
      </w:r>
    </w:p>
    <w:p w:rsidR="00C42DEB" w:rsidRPr="00CE3260" w:rsidRDefault="00C42DEB" w:rsidP="000B78E6">
      <w:pPr>
        <w:spacing w:before="120" w:after="120"/>
        <w:ind w:left="1418"/>
        <w:jc w:val="center"/>
        <w:rPr>
          <w:rFonts w:cs="Arial"/>
          <w:sz w:val="20"/>
          <w:szCs w:val="20"/>
        </w:rPr>
      </w:pPr>
    </w:p>
    <w:p w:rsidR="00C42DEB" w:rsidRPr="00CE3260" w:rsidRDefault="00C42DEB" w:rsidP="000B78E6">
      <w:pPr>
        <w:spacing w:before="120" w:after="120"/>
        <w:ind w:left="1418"/>
        <w:jc w:val="left"/>
        <w:rPr>
          <w:rFonts w:cs="Arial"/>
          <w:sz w:val="20"/>
          <w:szCs w:val="20"/>
        </w:rPr>
      </w:pPr>
      <w:r w:rsidRPr="00CE3260">
        <w:rPr>
          <w:rFonts w:cs="Arial"/>
          <w:sz w:val="20"/>
          <w:szCs w:val="20"/>
        </w:rPr>
        <w:t>La redacción  de este documento ha sido realizada por los profesionales que se citan en el anexo 1 y  coordinada por:</w:t>
      </w:r>
    </w:p>
    <w:p w:rsidR="00C42DEB" w:rsidRPr="00CE3260" w:rsidRDefault="00C42DEB" w:rsidP="000B78E6">
      <w:pPr>
        <w:spacing w:before="120" w:after="120"/>
        <w:ind w:left="709" w:firstLine="709"/>
        <w:rPr>
          <w:rFonts w:cs="Arial"/>
          <w:sz w:val="20"/>
          <w:szCs w:val="20"/>
        </w:rPr>
      </w:pPr>
      <w:r w:rsidRPr="00CE3260">
        <w:rPr>
          <w:rFonts w:cs="Arial"/>
          <w:sz w:val="20"/>
          <w:szCs w:val="20"/>
        </w:rPr>
        <w:t xml:space="preserve">Alberto Martínez Castelao </w:t>
      </w:r>
    </w:p>
    <w:p w:rsidR="00C42DEB" w:rsidRPr="00CE3260" w:rsidRDefault="00C42DEB" w:rsidP="000B78E6">
      <w:pPr>
        <w:spacing w:before="120" w:after="120"/>
        <w:ind w:left="709" w:firstLine="709"/>
        <w:rPr>
          <w:rFonts w:cs="Arial"/>
          <w:sz w:val="20"/>
          <w:szCs w:val="20"/>
        </w:rPr>
      </w:pPr>
      <w:r w:rsidRPr="00CE3260">
        <w:rPr>
          <w:rFonts w:cs="Arial"/>
          <w:sz w:val="20"/>
          <w:szCs w:val="20"/>
        </w:rPr>
        <w:t>Jordi Bover Sanjuán</w:t>
      </w:r>
    </w:p>
    <w:p w:rsidR="00C42DEB" w:rsidRPr="00CE3260" w:rsidRDefault="00C42DEB" w:rsidP="000B78E6">
      <w:pPr>
        <w:spacing w:before="120" w:after="120"/>
        <w:ind w:left="709" w:firstLine="709"/>
        <w:rPr>
          <w:rFonts w:cs="Arial"/>
          <w:sz w:val="20"/>
          <w:szCs w:val="20"/>
        </w:rPr>
      </w:pPr>
      <w:r w:rsidRPr="00CE3260">
        <w:rPr>
          <w:rFonts w:cs="Arial"/>
          <w:sz w:val="20"/>
          <w:szCs w:val="20"/>
        </w:rPr>
        <w:t>Jose Luis Górriz Teruel</w:t>
      </w:r>
    </w:p>
    <w:p w:rsidR="00C42DEB" w:rsidRPr="00CE3260" w:rsidRDefault="00C42DEB" w:rsidP="000B78E6">
      <w:pPr>
        <w:spacing w:before="120" w:after="120"/>
        <w:ind w:left="709" w:firstLine="709"/>
        <w:rPr>
          <w:rFonts w:cs="Arial"/>
          <w:sz w:val="20"/>
          <w:szCs w:val="20"/>
        </w:rPr>
      </w:pPr>
      <w:r w:rsidRPr="00CE3260">
        <w:rPr>
          <w:rFonts w:cs="Arial"/>
          <w:sz w:val="20"/>
          <w:szCs w:val="20"/>
        </w:rPr>
        <w:t>Julián Segura de la Morena.</w:t>
      </w:r>
    </w:p>
    <w:p w:rsidR="00C42DEB" w:rsidRPr="00CE3260" w:rsidRDefault="00C42DEB" w:rsidP="00901F59">
      <w:pPr>
        <w:spacing w:before="120" w:after="120"/>
        <w:rPr>
          <w:rFonts w:cs="Arial"/>
          <w:sz w:val="20"/>
          <w:szCs w:val="20"/>
        </w:rPr>
      </w:pPr>
    </w:p>
    <w:p w:rsidR="00C42DEB" w:rsidRPr="00CE3260" w:rsidRDefault="00C42DEB" w:rsidP="000B78E6">
      <w:pPr>
        <w:spacing w:before="120" w:after="120"/>
        <w:ind w:left="1418"/>
        <w:rPr>
          <w:rFonts w:cs="Arial"/>
          <w:sz w:val="20"/>
          <w:szCs w:val="20"/>
        </w:rPr>
      </w:pPr>
      <w:r w:rsidRPr="00CE3260">
        <w:rPr>
          <w:rFonts w:cs="Arial"/>
          <w:sz w:val="20"/>
          <w:szCs w:val="20"/>
        </w:rPr>
        <w:t>A todos ellos, así como a las Sociedades Científicas firmantes del Consenso y al Dr Ángel Luis Martín de Francisco, que ha actuado de enlace con las Guías KDIGO, nuestro reconocimiento y agradecimiento.</w:t>
      </w:r>
    </w:p>
    <w:p w:rsidR="00C42DEB" w:rsidRPr="00CE3260" w:rsidRDefault="00C42DEB" w:rsidP="000B78E6">
      <w:pPr>
        <w:spacing w:before="120" w:after="120"/>
        <w:ind w:left="1418"/>
        <w:rPr>
          <w:rFonts w:cs="Arial"/>
          <w:sz w:val="20"/>
          <w:szCs w:val="20"/>
        </w:rPr>
      </w:pPr>
      <w:r w:rsidRPr="00CE3260">
        <w:rPr>
          <w:rFonts w:cs="Arial"/>
          <w:sz w:val="20"/>
          <w:szCs w:val="20"/>
        </w:rPr>
        <w:t xml:space="preserve">Igualmente nuestro agradecimiento a Abbott y Esteve, que han aportado la colaboración logística para la elaboración del Documento. </w:t>
      </w:r>
    </w:p>
    <w:p w:rsidR="00C42DEB" w:rsidRPr="00CE3260" w:rsidRDefault="00C42DEB" w:rsidP="00901F59">
      <w:pPr>
        <w:spacing w:before="120" w:after="120"/>
        <w:rPr>
          <w:rFonts w:cs="Arial"/>
          <w:sz w:val="20"/>
          <w:szCs w:val="20"/>
        </w:rPr>
      </w:pPr>
    </w:p>
    <w:p w:rsidR="00C42DEB" w:rsidRPr="00CE3260" w:rsidRDefault="00C42DEB" w:rsidP="00901F59">
      <w:pPr>
        <w:spacing w:before="120" w:after="120"/>
        <w:rPr>
          <w:rFonts w:cs="Arial"/>
          <w:b/>
          <w:sz w:val="20"/>
          <w:szCs w:val="20"/>
        </w:rPr>
      </w:pPr>
      <w:r w:rsidRPr="00CE3260">
        <w:rPr>
          <w:rFonts w:cs="Arial"/>
          <w:sz w:val="20"/>
          <w:szCs w:val="20"/>
        </w:rPr>
        <w:br w:type="page"/>
      </w:r>
      <w:r w:rsidRPr="00CE3260">
        <w:rPr>
          <w:rFonts w:cs="Arial"/>
          <w:b/>
          <w:sz w:val="20"/>
          <w:szCs w:val="20"/>
        </w:rPr>
        <w:lastRenderedPageBreak/>
        <w:t>ANEXO 1.</w:t>
      </w:r>
    </w:p>
    <w:p w:rsidR="00C42DEB" w:rsidRPr="00CE3260" w:rsidRDefault="00C42DEB" w:rsidP="00901F59">
      <w:pPr>
        <w:spacing w:before="120" w:after="120"/>
        <w:rPr>
          <w:rFonts w:cs="Arial"/>
          <w:sz w:val="20"/>
          <w:szCs w:val="20"/>
        </w:rPr>
      </w:pPr>
      <w:r w:rsidRPr="00CE3260">
        <w:rPr>
          <w:rFonts w:cs="Arial"/>
          <w:sz w:val="20"/>
          <w:szCs w:val="20"/>
        </w:rPr>
        <w:t>Participantes en la redacción del Consenso:</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Bover Sanjuán, Jordi </w:t>
      </w:r>
      <w:r w:rsidRPr="00CE3260">
        <w:rPr>
          <w:rFonts w:cs="Arial"/>
          <w:sz w:val="20"/>
          <w:szCs w:val="20"/>
        </w:rPr>
        <w:tab/>
      </w:r>
      <w:r w:rsidRPr="00CE3260">
        <w:rPr>
          <w:rFonts w:cs="Arial"/>
          <w:sz w:val="20"/>
          <w:szCs w:val="20"/>
        </w:rPr>
        <w:tab/>
        <w:t>(SEN)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Cebollada, Jesús</w:t>
      </w:r>
      <w:r w:rsidRPr="00CE3260">
        <w:rPr>
          <w:rFonts w:cs="Arial"/>
          <w:sz w:val="20"/>
          <w:szCs w:val="20"/>
        </w:rPr>
        <w:tab/>
      </w:r>
      <w:r w:rsidRPr="00CE3260">
        <w:rPr>
          <w:rFonts w:cs="Arial"/>
          <w:sz w:val="20"/>
          <w:szCs w:val="20"/>
        </w:rPr>
        <w:tab/>
        <w:t>(SEMI)</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Escalada, Javier </w:t>
      </w:r>
      <w:r w:rsidRPr="00CE3260">
        <w:rPr>
          <w:rFonts w:cs="Arial"/>
          <w:sz w:val="20"/>
          <w:szCs w:val="20"/>
        </w:rPr>
        <w:tab/>
      </w:r>
      <w:r w:rsidRPr="00CE3260">
        <w:rPr>
          <w:rFonts w:cs="Arial"/>
          <w:sz w:val="20"/>
          <w:szCs w:val="20"/>
        </w:rPr>
        <w:tab/>
        <w:t>(SEEN)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Esmatjes, Enrich </w:t>
      </w:r>
      <w:r w:rsidRPr="00CE3260">
        <w:rPr>
          <w:rFonts w:cs="Arial"/>
          <w:sz w:val="20"/>
          <w:szCs w:val="20"/>
        </w:rPr>
        <w:tab/>
      </w:r>
      <w:r w:rsidRPr="00CE3260">
        <w:rPr>
          <w:rFonts w:cs="Arial"/>
          <w:sz w:val="20"/>
          <w:szCs w:val="20"/>
        </w:rPr>
        <w:tab/>
        <w:t>(SED)</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Fácila, Lorenzo </w:t>
      </w:r>
      <w:r w:rsidRPr="00CE3260">
        <w:rPr>
          <w:rFonts w:cs="Arial"/>
          <w:sz w:val="20"/>
          <w:szCs w:val="20"/>
        </w:rPr>
        <w:tab/>
      </w:r>
      <w:r w:rsidRPr="00CE3260">
        <w:rPr>
          <w:rFonts w:cs="Arial"/>
          <w:sz w:val="20"/>
          <w:szCs w:val="20"/>
        </w:rPr>
        <w:tab/>
        <w:t xml:space="preserve">(SEC) </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Gamarra, Javier</w:t>
      </w:r>
      <w:r w:rsidRPr="00CE3260">
        <w:rPr>
          <w:rFonts w:cs="Arial"/>
          <w:sz w:val="20"/>
          <w:szCs w:val="20"/>
        </w:rPr>
        <w:tab/>
      </w:r>
      <w:r w:rsidRPr="00CE3260">
        <w:rPr>
          <w:rFonts w:cs="Arial"/>
          <w:sz w:val="20"/>
          <w:szCs w:val="20"/>
        </w:rPr>
        <w:tab/>
        <w:t>(SEMG)</w:t>
      </w:r>
    </w:p>
    <w:p w:rsidR="00C42DEB" w:rsidRPr="00CE3260" w:rsidRDefault="00C42DEB" w:rsidP="00DB2749">
      <w:pPr>
        <w:numPr>
          <w:ilvl w:val="0"/>
          <w:numId w:val="36"/>
        </w:numPr>
        <w:spacing w:before="120" w:after="120"/>
        <w:rPr>
          <w:rFonts w:cs="Arial"/>
          <w:sz w:val="20"/>
          <w:szCs w:val="20"/>
          <w:lang w:val="pt-BR"/>
        </w:rPr>
      </w:pPr>
      <w:r w:rsidRPr="00CE3260">
        <w:rPr>
          <w:rFonts w:cs="Arial"/>
          <w:sz w:val="20"/>
          <w:szCs w:val="20"/>
          <w:lang w:val="pt-BR"/>
        </w:rPr>
        <w:t xml:space="preserve">Górriz Teruel, Jose Luís </w:t>
      </w:r>
      <w:r w:rsidRPr="00CE3260">
        <w:rPr>
          <w:rFonts w:cs="Arial"/>
          <w:sz w:val="20"/>
          <w:szCs w:val="20"/>
          <w:lang w:val="pt-BR"/>
        </w:rPr>
        <w:tab/>
        <w:t>(SEN)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Gràcia, Silvia</w:t>
      </w:r>
      <w:r w:rsidRPr="00CE3260">
        <w:rPr>
          <w:rFonts w:cs="Arial"/>
          <w:sz w:val="20"/>
          <w:szCs w:val="20"/>
        </w:rPr>
        <w:tab/>
      </w:r>
      <w:r w:rsidRPr="00CE3260">
        <w:rPr>
          <w:rFonts w:cs="Arial"/>
          <w:sz w:val="20"/>
          <w:szCs w:val="20"/>
        </w:rPr>
        <w:tab/>
      </w:r>
      <w:r w:rsidRPr="00CE3260">
        <w:rPr>
          <w:rFonts w:cs="Arial"/>
          <w:sz w:val="20"/>
          <w:szCs w:val="20"/>
        </w:rPr>
        <w:tab/>
        <w:t>(SEQC)</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Hernández, Julio</w:t>
      </w:r>
      <w:r w:rsidRPr="00CE3260">
        <w:rPr>
          <w:rFonts w:cs="Arial"/>
          <w:sz w:val="20"/>
          <w:szCs w:val="20"/>
        </w:rPr>
        <w:tab/>
      </w:r>
      <w:r w:rsidRPr="00CE3260">
        <w:rPr>
          <w:rFonts w:cs="Arial"/>
          <w:sz w:val="20"/>
          <w:szCs w:val="20"/>
        </w:rPr>
        <w:tab/>
        <w:t>(SEMG)</w:t>
      </w:r>
    </w:p>
    <w:p w:rsidR="00C42DEB" w:rsidRPr="00CE3260" w:rsidRDefault="00C42DEB" w:rsidP="00DB2749">
      <w:pPr>
        <w:numPr>
          <w:ilvl w:val="0"/>
          <w:numId w:val="36"/>
        </w:numPr>
        <w:spacing w:before="120" w:after="120"/>
        <w:rPr>
          <w:rFonts w:cs="Arial"/>
          <w:sz w:val="20"/>
          <w:szCs w:val="20"/>
          <w:lang w:val="pt-BR"/>
        </w:rPr>
      </w:pPr>
      <w:r w:rsidRPr="00CE3260">
        <w:rPr>
          <w:rFonts w:cs="Arial"/>
          <w:sz w:val="20"/>
          <w:szCs w:val="20"/>
          <w:lang w:val="pt-BR"/>
        </w:rPr>
        <w:t xml:space="preserve">Llisterri Caro, José Luís </w:t>
      </w:r>
      <w:r w:rsidRPr="00CE3260">
        <w:rPr>
          <w:rFonts w:cs="Arial"/>
          <w:sz w:val="20"/>
          <w:szCs w:val="20"/>
          <w:lang w:val="pt-BR"/>
        </w:rPr>
        <w:tab/>
        <w:t>(SEMERGEN)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Martínez Castelao, Alberto </w:t>
      </w:r>
      <w:r w:rsidRPr="00CE3260">
        <w:rPr>
          <w:rFonts w:cs="Arial"/>
          <w:sz w:val="20"/>
          <w:szCs w:val="20"/>
        </w:rPr>
        <w:tab/>
        <w:t>(SEN)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Mazón, Pilar </w:t>
      </w:r>
      <w:r w:rsidRPr="00CE3260">
        <w:rPr>
          <w:rFonts w:cs="Arial"/>
          <w:sz w:val="20"/>
          <w:szCs w:val="20"/>
        </w:rPr>
        <w:tab/>
      </w:r>
      <w:r w:rsidRPr="00CE3260">
        <w:rPr>
          <w:rFonts w:cs="Arial"/>
          <w:sz w:val="20"/>
          <w:szCs w:val="20"/>
        </w:rPr>
        <w:tab/>
      </w:r>
      <w:r w:rsidRPr="00CE3260">
        <w:rPr>
          <w:rFonts w:cs="Arial"/>
          <w:sz w:val="20"/>
          <w:szCs w:val="20"/>
        </w:rPr>
        <w:tab/>
        <w:t>(SEC)</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Montañés, Rosario</w:t>
      </w:r>
      <w:r w:rsidRPr="00CE3260">
        <w:rPr>
          <w:rFonts w:cs="Arial"/>
          <w:sz w:val="20"/>
          <w:szCs w:val="20"/>
        </w:rPr>
        <w:tab/>
      </w:r>
      <w:r w:rsidRPr="00CE3260">
        <w:rPr>
          <w:rFonts w:cs="Arial"/>
          <w:sz w:val="20"/>
          <w:szCs w:val="20"/>
        </w:rPr>
        <w:tab/>
        <w:t>(SEQC)</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Morales, Francisco </w:t>
      </w:r>
      <w:r w:rsidRPr="00CE3260">
        <w:rPr>
          <w:rFonts w:cs="Arial"/>
          <w:sz w:val="20"/>
          <w:szCs w:val="20"/>
        </w:rPr>
        <w:tab/>
      </w:r>
      <w:r w:rsidRPr="00CE3260">
        <w:rPr>
          <w:rFonts w:cs="Arial"/>
          <w:sz w:val="20"/>
          <w:szCs w:val="20"/>
        </w:rPr>
        <w:tab/>
        <w:t>(SELHELHA)</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Muñoz, Manuel </w:t>
      </w:r>
      <w:r w:rsidRPr="00CE3260">
        <w:rPr>
          <w:rFonts w:cs="Arial"/>
          <w:sz w:val="20"/>
          <w:szCs w:val="20"/>
        </w:rPr>
        <w:tab/>
      </w:r>
      <w:r w:rsidRPr="00CE3260">
        <w:rPr>
          <w:rFonts w:cs="Arial"/>
          <w:sz w:val="20"/>
          <w:szCs w:val="20"/>
        </w:rPr>
        <w:tab/>
        <w:t>(SEEN)</w:t>
      </w:r>
    </w:p>
    <w:p w:rsidR="00C42DEB" w:rsidRPr="00CE3260" w:rsidRDefault="00C42DEB" w:rsidP="00DB2749">
      <w:pPr>
        <w:numPr>
          <w:ilvl w:val="0"/>
          <w:numId w:val="36"/>
        </w:numPr>
        <w:spacing w:before="120" w:after="120"/>
        <w:rPr>
          <w:rFonts w:cs="Arial"/>
          <w:sz w:val="20"/>
          <w:szCs w:val="20"/>
          <w:lang w:val="pt-BR"/>
        </w:rPr>
      </w:pPr>
      <w:r w:rsidRPr="00CE3260">
        <w:rPr>
          <w:rFonts w:cs="Arial"/>
          <w:sz w:val="20"/>
          <w:szCs w:val="20"/>
          <w:lang w:val="pt-BR"/>
        </w:rPr>
        <w:t xml:space="preserve">de Pablos Velasco, Pedro </w:t>
      </w:r>
      <w:r w:rsidRPr="00CE3260">
        <w:rPr>
          <w:rFonts w:cs="Arial"/>
          <w:sz w:val="20"/>
          <w:szCs w:val="20"/>
          <w:lang w:val="pt-BR"/>
        </w:rPr>
        <w:tab/>
        <w:t>(SED)</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de Santiago, Ana </w:t>
      </w:r>
      <w:r w:rsidRPr="00CE3260">
        <w:rPr>
          <w:rFonts w:cs="Arial"/>
          <w:sz w:val="20"/>
          <w:szCs w:val="20"/>
        </w:rPr>
        <w:tab/>
      </w:r>
      <w:r w:rsidRPr="00CE3260">
        <w:rPr>
          <w:rFonts w:cs="Arial"/>
          <w:sz w:val="20"/>
          <w:szCs w:val="20"/>
        </w:rPr>
        <w:tab/>
        <w:t>(SEMERGEN)</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Sánchez-Celaya, Marta </w:t>
      </w:r>
      <w:r w:rsidRPr="00CE3260">
        <w:rPr>
          <w:rFonts w:cs="Arial"/>
          <w:sz w:val="20"/>
          <w:szCs w:val="20"/>
        </w:rPr>
        <w:tab/>
        <w:t>(SEMFyC)</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 xml:space="preserve">Segura de la Morena, Julián </w:t>
      </w:r>
      <w:r w:rsidRPr="00CE3260">
        <w:rPr>
          <w:rFonts w:cs="Arial"/>
          <w:sz w:val="20"/>
          <w:szCs w:val="20"/>
        </w:rPr>
        <w:tab/>
        <w:t>(SELHELHA)</w:t>
      </w:r>
    </w:p>
    <w:p w:rsidR="00C42DEB" w:rsidRPr="00CE3260" w:rsidRDefault="00C42DEB" w:rsidP="00DB2749">
      <w:pPr>
        <w:numPr>
          <w:ilvl w:val="0"/>
          <w:numId w:val="36"/>
        </w:numPr>
        <w:spacing w:before="120" w:after="120"/>
        <w:rPr>
          <w:rFonts w:cs="Arial"/>
          <w:sz w:val="20"/>
          <w:szCs w:val="20"/>
        </w:rPr>
      </w:pPr>
      <w:r w:rsidRPr="00CE3260">
        <w:rPr>
          <w:rFonts w:cs="Arial"/>
          <w:sz w:val="20"/>
          <w:szCs w:val="20"/>
        </w:rPr>
        <w:t>Suárez, Carmen</w:t>
      </w:r>
      <w:r w:rsidRPr="00CE3260">
        <w:rPr>
          <w:rFonts w:cs="Arial"/>
          <w:sz w:val="20"/>
          <w:szCs w:val="20"/>
        </w:rPr>
        <w:tab/>
      </w:r>
      <w:r w:rsidRPr="00CE3260">
        <w:rPr>
          <w:rFonts w:cs="Arial"/>
          <w:sz w:val="20"/>
          <w:szCs w:val="20"/>
        </w:rPr>
        <w:tab/>
        <w:t>(SEMI)</w:t>
      </w:r>
    </w:p>
    <w:p w:rsidR="00C42DEB" w:rsidRDefault="00C42DEB" w:rsidP="00DB2749">
      <w:pPr>
        <w:numPr>
          <w:ilvl w:val="0"/>
          <w:numId w:val="36"/>
        </w:numPr>
        <w:spacing w:before="120" w:after="120"/>
        <w:rPr>
          <w:rFonts w:cs="Arial"/>
          <w:sz w:val="20"/>
          <w:szCs w:val="20"/>
        </w:rPr>
      </w:pPr>
      <w:r w:rsidRPr="00CE3260">
        <w:rPr>
          <w:rFonts w:cs="Arial"/>
          <w:sz w:val="20"/>
          <w:szCs w:val="20"/>
        </w:rPr>
        <w:t xml:space="preserve">Tranche, Salvador </w:t>
      </w:r>
      <w:r w:rsidRPr="00CE3260">
        <w:rPr>
          <w:rFonts w:cs="Arial"/>
          <w:sz w:val="20"/>
          <w:szCs w:val="20"/>
        </w:rPr>
        <w:tab/>
      </w:r>
      <w:r w:rsidRPr="00CE3260">
        <w:rPr>
          <w:rFonts w:cs="Arial"/>
          <w:sz w:val="20"/>
          <w:szCs w:val="20"/>
        </w:rPr>
        <w:tab/>
        <w:t>(SEMFyC)</w:t>
      </w:r>
    </w:p>
    <w:p w:rsidR="00C42DEB" w:rsidRDefault="00C42DEB"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Default="00E81B3D" w:rsidP="00E7296C">
      <w:pPr>
        <w:spacing w:before="120" w:after="120"/>
        <w:rPr>
          <w:rFonts w:cs="Arial"/>
          <w:sz w:val="20"/>
          <w:szCs w:val="20"/>
        </w:rPr>
      </w:pPr>
    </w:p>
    <w:p w:rsidR="00E81B3D" w:rsidRPr="00E81B3D" w:rsidRDefault="00E81B3D" w:rsidP="00E7296C">
      <w:pPr>
        <w:spacing w:before="120" w:after="120"/>
        <w:rPr>
          <w:rFonts w:cs="Arial"/>
          <w:b/>
          <w:sz w:val="20"/>
          <w:szCs w:val="20"/>
        </w:rPr>
      </w:pPr>
      <w:r w:rsidRPr="00E81B3D">
        <w:rPr>
          <w:rFonts w:cs="Arial"/>
          <w:b/>
          <w:sz w:val="20"/>
          <w:szCs w:val="20"/>
        </w:rPr>
        <w:lastRenderedPageBreak/>
        <w:t>Anexo 2</w:t>
      </w:r>
      <w:r>
        <w:rPr>
          <w:rFonts w:cs="Arial"/>
          <w:b/>
          <w:sz w:val="20"/>
          <w:szCs w:val="20"/>
        </w:rPr>
        <w:t>.</w:t>
      </w:r>
      <w:r w:rsidRPr="00E81B3D">
        <w:rPr>
          <w:rFonts w:cs="Arial"/>
          <w:b/>
          <w:sz w:val="20"/>
          <w:szCs w:val="20"/>
        </w:rPr>
        <w:t xml:space="preserve"> Referencia Bibliográficas</w:t>
      </w:r>
    </w:p>
    <w:sectPr w:rsidR="00E81B3D" w:rsidRPr="00E81B3D" w:rsidSect="00DA188C">
      <w:endnotePr>
        <w:numFmt w:val="decimal"/>
      </w:endnotePr>
      <w:pgSz w:w="11906" w:h="16838" w:code="9"/>
      <w:pgMar w:top="1390" w:right="849" w:bottom="1418" w:left="851" w:header="284"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67" w:rsidRDefault="006F4467">
      <w:r>
        <w:separator/>
      </w:r>
    </w:p>
  </w:endnote>
  <w:endnote w:type="continuationSeparator" w:id="1">
    <w:p w:rsidR="006F4467" w:rsidRDefault="006F4467">
      <w:r>
        <w:continuationSeparator/>
      </w:r>
    </w:p>
  </w:endnote>
  <w:endnote w:id="2">
    <w:p w:rsidR="00651852" w:rsidRPr="00244544" w:rsidRDefault="00651852" w:rsidP="007E30EB">
      <w:pPr>
        <w:pStyle w:val="Textonotaalfinal"/>
        <w:rPr>
          <w:lang w:val="en-US"/>
        </w:rPr>
      </w:pPr>
      <w:r w:rsidRPr="009A7C55">
        <w:rPr>
          <w:rStyle w:val="Refdenotaalfinal"/>
          <w:rFonts w:cs="Arial"/>
          <w:sz w:val="16"/>
          <w:szCs w:val="16"/>
        </w:rPr>
        <w:endnoteRef/>
      </w:r>
      <w:r w:rsidRPr="00244544">
        <w:rPr>
          <w:rFonts w:cs="Arial"/>
          <w:sz w:val="16"/>
          <w:szCs w:val="16"/>
          <w:lang w:val="en-US"/>
        </w:rPr>
        <w:t xml:space="preserve">K/DOQI clinical practice guidelines for chronic kidney disease: evaluation, classification, and stratification. </w:t>
      </w:r>
      <w:r>
        <w:rPr>
          <w:rFonts w:cs="Arial"/>
          <w:sz w:val="16"/>
          <w:szCs w:val="16"/>
          <w:lang w:val="en-US"/>
        </w:rPr>
        <w:t>Am J Kidney Dis 2002;39(2 Suppl (</w:t>
      </w:r>
      <w:r w:rsidRPr="00244544">
        <w:rPr>
          <w:rFonts w:cs="Arial"/>
          <w:sz w:val="16"/>
          <w:szCs w:val="16"/>
          <w:lang w:val="en-US"/>
        </w:rPr>
        <w:t>1):S1-266.</w:t>
      </w:r>
    </w:p>
  </w:endnote>
  <w:endnote w:id="3">
    <w:p w:rsidR="00651852" w:rsidRPr="00244544" w:rsidRDefault="00651852">
      <w:pPr>
        <w:pStyle w:val="Textonotaalfinal"/>
        <w:rPr>
          <w:lang w:val="en-US"/>
        </w:rPr>
      </w:pPr>
      <w:r w:rsidRPr="009A7C55">
        <w:rPr>
          <w:rStyle w:val="Refdenotaalfinal"/>
          <w:rFonts w:cs="Arial"/>
          <w:sz w:val="16"/>
          <w:szCs w:val="16"/>
        </w:rPr>
        <w:endnoteRef/>
      </w:r>
      <w:r w:rsidRPr="00244544">
        <w:rPr>
          <w:rFonts w:cs="Arial"/>
          <w:sz w:val="16"/>
          <w:szCs w:val="16"/>
          <w:lang w:val="en-US"/>
        </w:rPr>
        <w:t>Levey AS, Coresh J. Chronic kidney disease. Lancet 2012;379(9811):165-180.</w:t>
      </w:r>
    </w:p>
  </w:endnote>
  <w:endnote w:id="4">
    <w:p w:rsidR="00651852" w:rsidRPr="00244544" w:rsidRDefault="00651852" w:rsidP="007E30EB">
      <w:pPr>
        <w:pStyle w:val="Textonotaalfinal"/>
        <w:rPr>
          <w:lang w:val="en-US"/>
        </w:rPr>
      </w:pPr>
      <w:r w:rsidRPr="009A7C55">
        <w:rPr>
          <w:rStyle w:val="Refdenotaalfinal"/>
          <w:rFonts w:cs="Arial"/>
          <w:sz w:val="16"/>
          <w:szCs w:val="16"/>
        </w:rPr>
        <w:endnoteRef/>
      </w:r>
      <w:r w:rsidRPr="00244544">
        <w:rPr>
          <w:rFonts w:cs="Arial"/>
          <w:sz w:val="16"/>
          <w:szCs w:val="16"/>
          <w:lang w:val="en-US"/>
        </w:rPr>
        <w:t>KDIGO 2012 Clinical Practice Guideline for the Evaluation and Management of Chronic Kidney Disease. Kidney Int (Suppl) 2013;3(1):1-308.</w:t>
      </w:r>
    </w:p>
  </w:endnote>
  <w:endnote w:id="5">
    <w:p w:rsidR="00651852" w:rsidRPr="00244544" w:rsidRDefault="00651852" w:rsidP="007E30EB">
      <w:pPr>
        <w:pStyle w:val="Textonotaalfinal"/>
        <w:rPr>
          <w:lang w:val="en-US"/>
        </w:rPr>
      </w:pPr>
      <w:r w:rsidRPr="009A7C55">
        <w:rPr>
          <w:rStyle w:val="Refdenotaalfinal"/>
          <w:rFonts w:cs="Arial"/>
          <w:sz w:val="16"/>
          <w:szCs w:val="16"/>
        </w:rPr>
        <w:endnoteRef/>
      </w:r>
      <w:r>
        <w:rPr>
          <w:rFonts w:cs="Arial"/>
          <w:sz w:val="16"/>
          <w:szCs w:val="16"/>
          <w:lang w:val="da-DK"/>
        </w:rPr>
        <w:t xml:space="preserve">Otero </w:t>
      </w:r>
      <w:r w:rsidRPr="00244544">
        <w:rPr>
          <w:rFonts w:cs="Arial"/>
          <w:sz w:val="16"/>
          <w:szCs w:val="16"/>
          <w:lang w:val="da-DK"/>
        </w:rPr>
        <w:t>A, de FA, Gayoso P, Garcia F. Prevalence of chronic renal disease in Spain: results of the EPIRCE study. Nefrologia 2010;30(1):78-86.</w:t>
      </w:r>
    </w:p>
  </w:endnote>
  <w:endnote w:id="6">
    <w:p w:rsidR="00651852" w:rsidRPr="00244544" w:rsidRDefault="00651852">
      <w:pPr>
        <w:pStyle w:val="Textonotaalfinal"/>
        <w:rPr>
          <w:lang w:val="en-US"/>
        </w:rPr>
      </w:pPr>
      <w:r w:rsidRPr="009A7C55">
        <w:rPr>
          <w:rStyle w:val="Refdenotaalfinal"/>
          <w:rFonts w:cs="Arial"/>
          <w:sz w:val="16"/>
          <w:szCs w:val="16"/>
        </w:rPr>
        <w:endnoteRef/>
      </w:r>
      <w:r w:rsidRPr="00244544">
        <w:rPr>
          <w:rFonts w:cs="Arial"/>
          <w:sz w:val="16"/>
          <w:szCs w:val="16"/>
          <w:lang w:val="da-DK"/>
        </w:rPr>
        <w:t>Klahr S, Levey AS, Beck GJ et al. The effects of dietary protein restriction and blood-pressure control on the progression of chronic renal disease. Modification of Diet in Renal Disease Study Group. N Engl J Med 1994;330(13):877-884.</w:t>
      </w:r>
    </w:p>
  </w:endnote>
  <w:endnote w:id="7">
    <w:p w:rsidR="00651852" w:rsidRPr="00244544" w:rsidRDefault="00651852" w:rsidP="007E30EB">
      <w:pPr>
        <w:pStyle w:val="Textonotaalfinal"/>
        <w:rPr>
          <w:lang w:val="en-US"/>
        </w:rPr>
      </w:pPr>
      <w:r w:rsidRPr="009A7C55">
        <w:rPr>
          <w:rStyle w:val="Refdenotaalfinal"/>
          <w:rFonts w:cs="Arial"/>
          <w:sz w:val="16"/>
          <w:szCs w:val="16"/>
        </w:rPr>
        <w:endnoteRef/>
      </w:r>
      <w:r w:rsidRPr="00244544">
        <w:rPr>
          <w:rFonts w:cs="Arial"/>
          <w:sz w:val="16"/>
          <w:szCs w:val="16"/>
          <w:lang w:val="da-DK"/>
        </w:rPr>
        <w:t>Alcazar R, Egocheaga MI, Orte L et al. [SEN-SEMFYC consensus document on chronic kidney disease]. Nefrologia 2008;28(3):273-282.</w:t>
      </w:r>
    </w:p>
  </w:endnote>
  <w:endnote w:id="8">
    <w:p w:rsidR="00651852" w:rsidRPr="00244544" w:rsidRDefault="00651852" w:rsidP="007E30EB">
      <w:pPr>
        <w:pStyle w:val="Textonotaalfinal"/>
        <w:rPr>
          <w:lang w:val="en-US"/>
        </w:rPr>
      </w:pPr>
      <w:r w:rsidRPr="009A7C55">
        <w:rPr>
          <w:rStyle w:val="Refdenotaalfinal"/>
          <w:rFonts w:cs="Arial"/>
          <w:sz w:val="16"/>
          <w:szCs w:val="16"/>
        </w:rPr>
        <w:endnoteRef/>
      </w:r>
      <w:r>
        <w:rPr>
          <w:rFonts w:cs="Arial"/>
          <w:sz w:val="16"/>
          <w:szCs w:val="16"/>
          <w:lang w:val="da-DK"/>
        </w:rPr>
        <w:t xml:space="preserve">House </w:t>
      </w:r>
      <w:r w:rsidRPr="00244544">
        <w:rPr>
          <w:rFonts w:cs="Arial"/>
          <w:sz w:val="16"/>
          <w:szCs w:val="16"/>
          <w:lang w:val="da-DK"/>
        </w:rPr>
        <w:t>AA, Ronco C. The burden of cardiovascular risk in chronic kidney disease and dialysis patients (cardiorenal syndrome type 4). Contrib Nephrol 2011;171:50-56.</w:t>
      </w:r>
    </w:p>
  </w:endnote>
  <w:endnote w:id="9">
    <w:p w:rsidR="00651852" w:rsidRPr="00244544" w:rsidRDefault="00651852" w:rsidP="007E30EB">
      <w:pPr>
        <w:pStyle w:val="Textonotaalfinal"/>
        <w:rPr>
          <w:lang w:val="en-US"/>
        </w:rPr>
      </w:pPr>
      <w:r w:rsidRPr="009A7C55">
        <w:rPr>
          <w:rStyle w:val="Refdenotaalfinal"/>
          <w:rFonts w:cs="Arial"/>
          <w:sz w:val="16"/>
          <w:szCs w:val="16"/>
        </w:rPr>
        <w:endnoteRef/>
      </w:r>
      <w:r>
        <w:rPr>
          <w:rFonts w:cs="Arial"/>
          <w:sz w:val="16"/>
          <w:szCs w:val="16"/>
          <w:lang w:val="en-US"/>
        </w:rPr>
        <w:t xml:space="preserve">Keith DS </w:t>
      </w:r>
      <w:r w:rsidRPr="00244544">
        <w:rPr>
          <w:rFonts w:cs="Arial"/>
          <w:sz w:val="16"/>
          <w:szCs w:val="16"/>
          <w:lang w:val="en-US"/>
        </w:rPr>
        <w:t xml:space="preserve"> Nichols GA, Gullion CM, Brown JB, Smith DH. Longitudinal follow-up and outcomes among a population with chronic kidney disease in a large managed care organization. Arch Intern Med 2004;164(6):659-663.</w:t>
      </w:r>
    </w:p>
  </w:endnote>
  <w:endnote w:id="10">
    <w:p w:rsidR="00651852" w:rsidRPr="00244544" w:rsidRDefault="00651852">
      <w:pPr>
        <w:pStyle w:val="Textonotaalfinal"/>
        <w:rPr>
          <w:lang w:val="en-US"/>
        </w:rPr>
      </w:pPr>
      <w:r w:rsidRPr="009A7C55">
        <w:rPr>
          <w:rStyle w:val="Refdenotaalfinal"/>
          <w:rFonts w:cs="Arial"/>
          <w:sz w:val="16"/>
          <w:szCs w:val="16"/>
        </w:rPr>
        <w:endnoteRef/>
      </w:r>
      <w:r>
        <w:rPr>
          <w:rFonts w:cs="Arial"/>
          <w:sz w:val="16"/>
          <w:szCs w:val="16"/>
          <w:lang w:val="en-US"/>
        </w:rPr>
        <w:t xml:space="preserve">Lorenzo </w:t>
      </w:r>
      <w:r w:rsidRPr="00244544">
        <w:rPr>
          <w:rFonts w:cs="Arial"/>
          <w:sz w:val="16"/>
          <w:szCs w:val="16"/>
          <w:lang w:val="en-US"/>
        </w:rPr>
        <w:t>V, Perestelo L, Barroso M, Torres A, Nazco J. [Economic evaluation of haemodialysis. Analysis of cost components based on patient-specific data]. Nefrologia 2010;30(4):403-412.</w:t>
      </w:r>
    </w:p>
  </w:endnote>
  <w:endnote w:id="11">
    <w:p w:rsidR="00651852" w:rsidRPr="009910AD" w:rsidRDefault="00651852" w:rsidP="007E30EB">
      <w:pPr>
        <w:pStyle w:val="Textonotaalfinal"/>
        <w:rPr>
          <w:rFonts w:cs="Arial"/>
          <w:sz w:val="16"/>
          <w:szCs w:val="16"/>
          <w:lang w:val="en-US"/>
        </w:rPr>
      </w:pPr>
      <w:r w:rsidRPr="009A7C55">
        <w:rPr>
          <w:rStyle w:val="Refdenotaalfinal"/>
          <w:rFonts w:cs="Arial"/>
          <w:sz w:val="16"/>
          <w:szCs w:val="16"/>
        </w:rPr>
        <w:endnoteRef/>
      </w:r>
      <w:r w:rsidRPr="00244544">
        <w:rPr>
          <w:rFonts w:cs="Arial"/>
          <w:sz w:val="16"/>
          <w:szCs w:val="16"/>
          <w:lang w:val="en-US"/>
        </w:rPr>
        <w:t xml:space="preserve">Dialysis and transplant report in Spain, 2006. </w:t>
      </w:r>
      <w:r w:rsidRPr="009910AD">
        <w:rPr>
          <w:rFonts w:cs="Arial"/>
          <w:sz w:val="16"/>
          <w:szCs w:val="16"/>
          <w:lang w:val="en-US"/>
        </w:rPr>
        <w:t xml:space="preserve">Nefrologia 2009;29(6):525-533. </w:t>
      </w:r>
    </w:p>
  </w:endnote>
  <w:endnote w:id="12">
    <w:p w:rsidR="00651852" w:rsidRPr="009B3042" w:rsidRDefault="00651852" w:rsidP="007E30EB">
      <w:pPr>
        <w:pStyle w:val="Textonotaalfinal"/>
        <w:rPr>
          <w:lang w:val="en-US"/>
        </w:rPr>
      </w:pPr>
      <w:r w:rsidRPr="009A7C55">
        <w:rPr>
          <w:rStyle w:val="Refdenotaalfinal"/>
          <w:rFonts w:cs="Arial"/>
          <w:sz w:val="16"/>
          <w:szCs w:val="16"/>
        </w:rPr>
        <w:endnoteRef/>
      </w:r>
      <w:r w:rsidRPr="009910AD">
        <w:rPr>
          <w:rFonts w:cs="Arial"/>
          <w:sz w:val="16"/>
          <w:szCs w:val="16"/>
          <w:lang w:val="en-US"/>
        </w:rPr>
        <w:t xml:space="preserve">Informe anual del registro SEN-ONT. </w:t>
      </w:r>
      <w:r w:rsidRPr="00244544">
        <w:rPr>
          <w:rFonts w:cs="Arial"/>
          <w:sz w:val="16"/>
          <w:szCs w:val="16"/>
        </w:rPr>
        <w:t xml:space="preserve">42º Congreso Anual  SEN, Las Palmas de Gran Canaria, octubre 2012.   </w:t>
      </w:r>
      <w:r w:rsidRPr="009B3042">
        <w:rPr>
          <w:rFonts w:cs="Arial"/>
          <w:sz w:val="16"/>
          <w:szCs w:val="16"/>
          <w:lang w:val="en-US"/>
        </w:rPr>
        <w:t>2012</w:t>
      </w:r>
    </w:p>
  </w:endnote>
  <w:endnote w:id="13">
    <w:p w:rsidR="00651852" w:rsidRPr="00244544" w:rsidRDefault="00651852" w:rsidP="007E30EB">
      <w:pPr>
        <w:pStyle w:val="Textonotaalfinal"/>
        <w:rPr>
          <w:lang w:val="en-US"/>
        </w:rPr>
      </w:pPr>
      <w:r w:rsidRPr="009A7C55">
        <w:rPr>
          <w:rStyle w:val="Refdenotaalfinal"/>
          <w:rFonts w:cs="Arial"/>
          <w:sz w:val="16"/>
          <w:szCs w:val="16"/>
        </w:rPr>
        <w:endnoteRef/>
      </w:r>
      <w:r w:rsidRPr="009910AD">
        <w:rPr>
          <w:rFonts w:cs="Arial"/>
          <w:sz w:val="16"/>
          <w:szCs w:val="16"/>
        </w:rPr>
        <w:t xml:space="preserve">Pons R, Torregrosa E, Hernaindez-Jaras J et al. </w:t>
      </w:r>
      <w:r w:rsidRPr="009B3042">
        <w:rPr>
          <w:rFonts w:cs="Arial"/>
          <w:sz w:val="16"/>
          <w:szCs w:val="16"/>
          <w:lang w:val="en-US"/>
        </w:rPr>
        <w:t xml:space="preserve">[Estimation of the cost in the farmacologic treatment of chronic renal failure]. </w:t>
      </w:r>
      <w:r w:rsidRPr="00577A35">
        <w:rPr>
          <w:rFonts w:cs="Arial"/>
          <w:sz w:val="16"/>
          <w:szCs w:val="16"/>
          <w:lang w:val="en-US"/>
        </w:rPr>
        <w:t>Nefrologia 2006;26(3):358-364.</w:t>
      </w:r>
    </w:p>
  </w:endnote>
  <w:endnote w:id="14">
    <w:p w:rsidR="00651852" w:rsidRPr="00577A35" w:rsidRDefault="00651852">
      <w:pPr>
        <w:pStyle w:val="Textonotaalfinal"/>
        <w:rPr>
          <w:lang w:val="en-US"/>
        </w:rPr>
      </w:pPr>
      <w:r w:rsidRPr="00577A35">
        <w:rPr>
          <w:rStyle w:val="Refdenotaalfinal"/>
          <w:rFonts w:cs="Arial"/>
          <w:sz w:val="16"/>
          <w:szCs w:val="16"/>
        </w:rPr>
        <w:endnoteRef/>
      </w:r>
      <w:r w:rsidRPr="009B3042">
        <w:rPr>
          <w:rFonts w:cs="Arial"/>
          <w:sz w:val="16"/>
          <w:szCs w:val="16"/>
          <w:lang w:val="en-US"/>
        </w:rPr>
        <w:t>Levey AS, Stevens LA, Coresh J. Conceptual model of CKD: applications and implications. Am J Kidney Dis 2009;53(3 Suppl 3):S4-16.</w:t>
      </w:r>
    </w:p>
  </w:endnote>
  <w:endnote w:id="15">
    <w:p w:rsidR="00651852" w:rsidRPr="003237C2" w:rsidRDefault="00651852" w:rsidP="007E30EB">
      <w:pPr>
        <w:pStyle w:val="Textonotaalfinal"/>
        <w:rPr>
          <w:lang w:val="en-US"/>
        </w:rPr>
      </w:pPr>
      <w:r w:rsidRPr="009A7C55">
        <w:rPr>
          <w:rStyle w:val="Refdenotaalfinal"/>
          <w:rFonts w:cs="Arial"/>
          <w:sz w:val="16"/>
          <w:szCs w:val="16"/>
        </w:rPr>
        <w:endnoteRef/>
      </w:r>
      <w:r w:rsidRPr="009B3042">
        <w:rPr>
          <w:rFonts w:cs="Arial"/>
          <w:sz w:val="16"/>
          <w:szCs w:val="16"/>
          <w:lang w:val="en-US"/>
        </w:rPr>
        <w:t xml:space="preserve">Calero F, Llauger MA. </w:t>
      </w:r>
      <w:r w:rsidRPr="00577A35">
        <w:rPr>
          <w:rFonts w:cs="Arial"/>
          <w:sz w:val="16"/>
          <w:szCs w:val="16"/>
        </w:rPr>
        <w:t xml:space="preserve">Programa de Atención Coordinada para la Enfermedad Renal Crónica (ERC). </w:t>
      </w:r>
      <w:r w:rsidRPr="003237C2">
        <w:rPr>
          <w:rFonts w:cs="Arial"/>
          <w:sz w:val="16"/>
          <w:szCs w:val="16"/>
          <w:lang w:val="en-US"/>
        </w:rPr>
        <w:t>Actas Fund Puigvert 2011;30((3-4)):87-163.</w:t>
      </w:r>
    </w:p>
  </w:endnote>
  <w:endnote w:id="16">
    <w:p w:rsidR="00651852" w:rsidRPr="00FF43A7" w:rsidRDefault="00651852">
      <w:pPr>
        <w:pStyle w:val="Textonotaalfinal"/>
        <w:rPr>
          <w:lang w:val="en-US"/>
        </w:rPr>
      </w:pPr>
      <w:r>
        <w:rPr>
          <w:rStyle w:val="Refdenotaalfinal"/>
        </w:rPr>
        <w:endnoteRef/>
      </w:r>
      <w:r w:rsidRPr="003237C2">
        <w:rPr>
          <w:rFonts w:cs="Arial"/>
          <w:sz w:val="16"/>
          <w:szCs w:val="16"/>
          <w:lang w:val="en-US"/>
        </w:rPr>
        <w:t>Crowe E, Halpin D, Stevens P. Early identification and management of chronic kidney disease: summary of NICE guidance. BMJ 2008;337:a1530.</w:t>
      </w:r>
    </w:p>
  </w:endnote>
  <w:endnote w:id="17">
    <w:p w:rsidR="00651852" w:rsidRPr="00FF43A7" w:rsidRDefault="00651852">
      <w:pPr>
        <w:pStyle w:val="Textonotaalfinal"/>
        <w:rPr>
          <w:lang w:val="en-US"/>
        </w:rPr>
      </w:pPr>
      <w:r>
        <w:rPr>
          <w:rStyle w:val="Refdenotaalfinal"/>
        </w:rPr>
        <w:endnoteRef/>
      </w:r>
      <w:r w:rsidRPr="003237C2">
        <w:rPr>
          <w:rFonts w:cs="Arial"/>
          <w:sz w:val="16"/>
          <w:szCs w:val="16"/>
          <w:lang w:val="en-US"/>
        </w:rPr>
        <w:t>Brosius FC, III, Hostetter TH, Kelepouris E et al. Detection of chronic kidney disease in patients with or at increased risk of cardiovascular disease: a science advisory from the American Heart Association Kidney And Cardiovascular Disease Council; the Councils on High Blood Pressure Research, Cardiovascular Disease in the Young, and Epidemiology and Prevention; and the Quality of Care and Outcomes Research Interdisciplinary Working Group: developed in collaboration with the National Kidney Foundation. Circulation 2006;114(10):1083-1087.</w:t>
      </w:r>
    </w:p>
  </w:endnote>
  <w:endnote w:id="18">
    <w:p w:rsidR="00651852" w:rsidRPr="00D2237E" w:rsidRDefault="00651852">
      <w:pPr>
        <w:pStyle w:val="Textonotaalfinal"/>
        <w:rPr>
          <w:rFonts w:cs="Arial"/>
          <w:sz w:val="16"/>
          <w:szCs w:val="16"/>
        </w:rPr>
      </w:pPr>
      <w:r w:rsidRPr="00D2237E">
        <w:rPr>
          <w:rStyle w:val="Refdenotaalfinal"/>
          <w:rFonts w:cs="Arial"/>
          <w:sz w:val="16"/>
          <w:szCs w:val="16"/>
        </w:rPr>
        <w:endnoteRef/>
      </w:r>
      <w:r w:rsidRPr="00D2237E">
        <w:rPr>
          <w:rFonts w:cs="Arial"/>
          <w:sz w:val="16"/>
          <w:szCs w:val="16"/>
          <w:lang w:val="en-US"/>
        </w:rPr>
        <w:t xml:space="preserve">Stevens LA, Coresh J, Greene T, Levey AS. Assessing kidney function--measured and estimated glomerular filtration rate. </w:t>
      </w:r>
      <w:r w:rsidRPr="00D2237E">
        <w:rPr>
          <w:rFonts w:cs="Arial"/>
          <w:sz w:val="16"/>
          <w:szCs w:val="16"/>
        </w:rPr>
        <w:t>N Engl J Med 2006;354(23):2473-2483.</w:t>
      </w:r>
    </w:p>
  </w:endnote>
  <w:endnote w:id="19">
    <w:p w:rsidR="00651852" w:rsidRPr="003237C2" w:rsidRDefault="00651852" w:rsidP="007E30EB">
      <w:pPr>
        <w:pStyle w:val="Textonotaalfinal"/>
        <w:rPr>
          <w:color w:val="FF0000"/>
          <w:lang w:val="en-US"/>
        </w:rPr>
      </w:pPr>
      <w:r w:rsidRPr="009A7C55">
        <w:rPr>
          <w:rStyle w:val="Refdenotaalfinal"/>
          <w:rFonts w:cs="Arial"/>
          <w:sz w:val="16"/>
          <w:szCs w:val="16"/>
        </w:rPr>
        <w:endnoteRef/>
      </w:r>
      <w:r w:rsidRPr="00D2237E">
        <w:rPr>
          <w:rFonts w:cs="Arial"/>
          <w:sz w:val="16"/>
          <w:szCs w:val="16"/>
        </w:rPr>
        <w:t xml:space="preserve">Gracia-Garcia S, Montanes-Bermudez R, Morales-Garcia LJ et al. </w:t>
      </w:r>
      <w:r w:rsidRPr="009B3042">
        <w:rPr>
          <w:rFonts w:cs="Arial"/>
          <w:sz w:val="16"/>
          <w:szCs w:val="16"/>
          <w:lang w:val="en-US"/>
        </w:rPr>
        <w:t xml:space="preserve">Current use of equations for estimating glomerular filtration rate in Spanish laboratories. </w:t>
      </w:r>
      <w:r w:rsidRPr="00D2237E">
        <w:rPr>
          <w:rFonts w:cs="Arial"/>
          <w:sz w:val="16"/>
          <w:szCs w:val="16"/>
          <w:lang w:val="en-US"/>
        </w:rPr>
        <w:t>Nefrologia 2012;32(4):508-516.</w:t>
      </w:r>
    </w:p>
  </w:endnote>
  <w:endnote w:id="20">
    <w:p w:rsidR="00651852" w:rsidRPr="003237C2" w:rsidRDefault="00651852" w:rsidP="007E30EB">
      <w:pPr>
        <w:pStyle w:val="Textonotaalfinal"/>
        <w:rPr>
          <w:color w:val="FF0000"/>
          <w:lang w:val="en-US"/>
        </w:rPr>
      </w:pPr>
      <w:r w:rsidRPr="00D2237E">
        <w:rPr>
          <w:rStyle w:val="Refdenotaalfinal"/>
          <w:rFonts w:cs="Arial"/>
          <w:sz w:val="16"/>
          <w:szCs w:val="16"/>
        </w:rPr>
        <w:endnoteRef/>
      </w:r>
      <w:r w:rsidRPr="00D2237E">
        <w:rPr>
          <w:rFonts w:cs="Arial"/>
          <w:sz w:val="16"/>
          <w:szCs w:val="16"/>
          <w:lang w:val="en-US"/>
        </w:rPr>
        <w:t>Levey AS, Bosch JP, Lewis JB, Greene T, Rogers N, Roth D. A more accurate method to estimate glomerular filtration rate from serum creatinine: a new prediction equation. Modification of Diet in Renal Disease Study Group. Ann Intern Med 1999;130(6):461-470.</w:t>
      </w:r>
    </w:p>
  </w:endnote>
  <w:endnote w:id="21">
    <w:p w:rsidR="00651852" w:rsidRPr="00D2237E" w:rsidRDefault="00651852">
      <w:pPr>
        <w:pStyle w:val="Textonotaalfinal"/>
        <w:rPr>
          <w:lang w:val="en-US"/>
        </w:rPr>
      </w:pPr>
      <w:r w:rsidRPr="00D2237E">
        <w:rPr>
          <w:rStyle w:val="Refdenotaalfinal"/>
          <w:rFonts w:cs="Arial"/>
          <w:sz w:val="16"/>
          <w:szCs w:val="16"/>
        </w:rPr>
        <w:endnoteRef/>
      </w:r>
      <w:r w:rsidRPr="00D2237E">
        <w:rPr>
          <w:rFonts w:cs="Arial"/>
          <w:sz w:val="16"/>
          <w:szCs w:val="16"/>
          <w:lang w:val="en-US"/>
        </w:rPr>
        <w:t>Levey AS, Coresh J, Greene T, Stevens LA, Zhang YL, Hendriksen S, et al; Chronic Kidney Disease Epidemiology Collaboration. Using standardized serum creatinine values in the modification of diet in renal disease study equation for estimating glomerular filtration rate. Ann Intern Med. 2006;145:247-54</w:t>
      </w:r>
    </w:p>
  </w:endnote>
  <w:endnote w:id="22">
    <w:p w:rsidR="00651852" w:rsidRPr="00D2237E" w:rsidRDefault="00651852" w:rsidP="007E30EB">
      <w:pPr>
        <w:pStyle w:val="Textonotaalfinal"/>
        <w:rPr>
          <w:lang w:val="en-US"/>
        </w:rPr>
      </w:pPr>
      <w:r w:rsidRPr="00D2237E">
        <w:rPr>
          <w:rStyle w:val="Refdenotaalfinal"/>
          <w:rFonts w:cs="Arial"/>
          <w:sz w:val="16"/>
          <w:szCs w:val="16"/>
        </w:rPr>
        <w:endnoteRef/>
      </w:r>
      <w:r w:rsidRPr="00D2237E">
        <w:rPr>
          <w:rFonts w:cs="Arial"/>
          <w:sz w:val="16"/>
          <w:szCs w:val="16"/>
          <w:lang w:val="en-US"/>
        </w:rPr>
        <w:t>Miller WG. Reporting estimated GFR: a laboratory perspective [Editorial]. Am J Kidney Dis. 2008;52:645-8.</w:t>
      </w:r>
    </w:p>
  </w:endnote>
  <w:endnote w:id="23">
    <w:p w:rsidR="00651852" w:rsidRPr="003237C2" w:rsidRDefault="00651852" w:rsidP="007E30EB">
      <w:pPr>
        <w:pStyle w:val="Textonotaalfinal"/>
        <w:rPr>
          <w:color w:val="FF0000"/>
          <w:lang w:val="en-US"/>
        </w:rPr>
      </w:pPr>
      <w:r w:rsidRPr="00D2237E">
        <w:rPr>
          <w:rStyle w:val="Refdenotaalfinal"/>
          <w:rFonts w:cs="Arial"/>
          <w:sz w:val="16"/>
          <w:szCs w:val="16"/>
        </w:rPr>
        <w:endnoteRef/>
      </w:r>
      <w:r w:rsidRPr="00D2237E">
        <w:rPr>
          <w:rFonts w:cs="Arial"/>
          <w:sz w:val="16"/>
          <w:szCs w:val="16"/>
          <w:lang w:val="en-US"/>
        </w:rPr>
        <w:t>Levey AS, Andreoli SP, DuBose T, Provenzano R, Collins AJ. CKD: common, harmful, and treatable—World Kidney Day 2007. Am J Kidney Dis. 2007; 49:175-9.</w:t>
      </w:r>
    </w:p>
  </w:endnote>
  <w:endnote w:id="24">
    <w:p w:rsidR="00651852" w:rsidRPr="00244544" w:rsidRDefault="00651852" w:rsidP="007E30EB">
      <w:pPr>
        <w:pStyle w:val="Textonotaalfinal"/>
        <w:rPr>
          <w:lang w:val="en-US"/>
        </w:rPr>
      </w:pPr>
      <w:r w:rsidRPr="009A7C55">
        <w:rPr>
          <w:rStyle w:val="Refdenotaalfinal"/>
          <w:rFonts w:cs="Arial"/>
          <w:sz w:val="16"/>
          <w:szCs w:val="16"/>
        </w:rPr>
        <w:endnoteRef/>
      </w:r>
      <w:r w:rsidRPr="00D2237E">
        <w:rPr>
          <w:rFonts w:cs="Arial"/>
          <w:sz w:val="16"/>
          <w:szCs w:val="16"/>
          <w:lang w:val="en-US"/>
        </w:rPr>
        <w:t>Stevens LA, Coresh J, Feldman HI, Greene T, Lash JP, Nelson RG, et al. Evaluation of the modification of diet in renal disease study equation in a large diverse population. J Am Soc Nephrol. 2007;18:2749-57.</w:t>
      </w:r>
    </w:p>
  </w:endnote>
  <w:endnote w:id="25">
    <w:p w:rsidR="00651852" w:rsidRPr="00244544" w:rsidRDefault="00651852" w:rsidP="007E30EB">
      <w:pPr>
        <w:pStyle w:val="Textonotaalfinal"/>
        <w:rPr>
          <w:lang w:val="en-US"/>
        </w:rPr>
      </w:pPr>
      <w:r w:rsidRPr="009A7C55">
        <w:rPr>
          <w:rStyle w:val="Refdenotaalfinal"/>
          <w:rFonts w:cs="Arial"/>
          <w:sz w:val="16"/>
          <w:szCs w:val="16"/>
        </w:rPr>
        <w:endnoteRef/>
      </w:r>
      <w:r w:rsidRPr="009B3042">
        <w:rPr>
          <w:rFonts w:cs="Arial"/>
          <w:sz w:val="16"/>
          <w:szCs w:val="16"/>
          <w:lang w:val="en-US"/>
        </w:rPr>
        <w:t xml:space="preserve">Imai E, Horio M, Nitta K, Yamagata K, Iseki K, Hara S, et al. </w:t>
      </w:r>
      <w:r w:rsidRPr="009A7C55">
        <w:rPr>
          <w:rFonts w:cs="Arial"/>
          <w:sz w:val="16"/>
          <w:szCs w:val="16"/>
          <w:lang w:val="en-US"/>
        </w:rPr>
        <w:t>Estimation of glomerular filtration rate by the MDRD Study equation modified for Japanese patients with chronic kidney disease. Clin Exp Nephrol 2007;11(1):41-50.</w:t>
      </w:r>
    </w:p>
  </w:endnote>
  <w:endnote w:id="26">
    <w:p w:rsidR="00651852" w:rsidRPr="00244544" w:rsidRDefault="00651852" w:rsidP="007E30EB">
      <w:pPr>
        <w:pStyle w:val="Textonotaalfinal"/>
        <w:rPr>
          <w:lang w:val="en-US"/>
        </w:rPr>
      </w:pPr>
      <w:r w:rsidRPr="009A7C55">
        <w:rPr>
          <w:rStyle w:val="Refdenotaalfinal"/>
          <w:rFonts w:cs="Arial"/>
          <w:sz w:val="16"/>
          <w:szCs w:val="16"/>
        </w:rPr>
        <w:endnoteRef/>
      </w:r>
      <w:r w:rsidRPr="009B3042">
        <w:rPr>
          <w:rFonts w:cs="Arial"/>
          <w:sz w:val="16"/>
          <w:szCs w:val="16"/>
          <w:lang w:val="en-US"/>
        </w:rPr>
        <w:t xml:space="preserve">Ma YC, Zuo L, Chen JH, Luo Q, Yu XQ, Li Y, et al. </w:t>
      </w:r>
      <w:r w:rsidRPr="009A7C55">
        <w:rPr>
          <w:rFonts w:cs="Arial"/>
          <w:sz w:val="16"/>
          <w:szCs w:val="16"/>
          <w:lang w:val="en-US"/>
        </w:rPr>
        <w:t>Modified glomerular filtration rate estimating equations for Chinese patients with chronic kidney disease. J Am Soc Nephrol 2006;17(10):2937-44.</w:t>
      </w:r>
    </w:p>
  </w:endnote>
  <w:endnote w:id="27">
    <w:p w:rsidR="00651852" w:rsidRPr="00244544" w:rsidRDefault="00651852" w:rsidP="007E30EB">
      <w:pPr>
        <w:pStyle w:val="Textonotaalfinal"/>
        <w:rPr>
          <w:lang w:val="en-US"/>
        </w:rPr>
      </w:pPr>
      <w:r w:rsidRPr="009A7C55">
        <w:rPr>
          <w:rStyle w:val="Refdenotaalfinal"/>
          <w:rFonts w:cs="Arial"/>
          <w:sz w:val="16"/>
          <w:szCs w:val="16"/>
        </w:rPr>
        <w:endnoteRef/>
      </w:r>
      <w:r w:rsidRPr="00DB00E6">
        <w:rPr>
          <w:rFonts w:cs="Arial"/>
          <w:sz w:val="16"/>
          <w:szCs w:val="16"/>
          <w:lang w:val="en-US"/>
        </w:rPr>
        <w:t>Andrew S. Levey, MD; Lesley A. Stevens, MD, MS; Christopher H. Schmid, PhD; Yaping (Lucy) Zhang, MS; Alejandro F. Castro III, MPH; Harold I. Feldman, MD, MSCE; John W. Kusek, PhD; Paul Eggers, PhD; Frederick Van Lente, PhD; Tom Greene, PhD; and Josef Coresh, MD, PhD, MHS, for the CKD-EPI (Chronic Kidney Disease Epidemiology Collaboration)*. A New Equation to Estimate Glomerular Filtration Rate. Ann Intern Med. 2009;150:604-612.</w:t>
      </w:r>
    </w:p>
  </w:endnote>
  <w:endnote w:id="28">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Delanaye P, Cavalier E, Mariat C, Maillard N, Krzesinski JM. MDRD or CKD-EPI study equations for estimating prevalence of stage 3 CKD in epidemiological studies: which difference? Is this difference relevant? BMC Nephrol. 2010 Jun 1;11:8.</w:t>
      </w:r>
    </w:p>
  </w:endnote>
  <w:endnote w:id="29">
    <w:p w:rsidR="00651852" w:rsidRPr="009B3042"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 xml:space="preserve">R. Montañés Bermúdez, J. Bover Sanjuán, A. Oliver Samper, J.A. Ballarín Castán, S. Gràcia García. </w:t>
      </w:r>
      <w:r w:rsidRPr="009A7C55">
        <w:rPr>
          <w:rFonts w:cs="Arial"/>
          <w:sz w:val="16"/>
          <w:szCs w:val="16"/>
        </w:rPr>
        <w:t xml:space="preserve">Valoración de la nueva ecuación CKD-EPI para la estimación del filtrado glomerular. </w:t>
      </w:r>
      <w:r w:rsidRPr="009B3042">
        <w:rPr>
          <w:rFonts w:cs="Arial"/>
          <w:sz w:val="16"/>
          <w:szCs w:val="16"/>
          <w:lang w:val="en-US"/>
        </w:rPr>
        <w:t>Nefrologia 2010;30(2):185-94.</w:t>
      </w:r>
    </w:p>
  </w:endnote>
  <w:endnote w:id="30">
    <w:p w:rsidR="00651852" w:rsidRPr="009910AD" w:rsidRDefault="00651852">
      <w:pPr>
        <w:pStyle w:val="Textonotaalfinal"/>
        <w:rPr>
          <w:lang w:val="en-US"/>
        </w:rPr>
      </w:pPr>
      <w:r w:rsidRPr="009A7C55">
        <w:rPr>
          <w:rStyle w:val="Refdenotaalfinal"/>
          <w:rFonts w:cs="Arial"/>
          <w:sz w:val="16"/>
          <w:szCs w:val="16"/>
        </w:rPr>
        <w:endnoteRef/>
      </w:r>
      <w:r w:rsidRPr="004277F6">
        <w:rPr>
          <w:rFonts w:cs="Arial"/>
          <w:sz w:val="16"/>
          <w:szCs w:val="16"/>
          <w:lang w:val="en-US"/>
        </w:rPr>
        <w:t xml:space="preserve">Matsushita K, Mahmoodi BK, Woodward M et al. Comparison of risk prediction using the CKD-EPI equation and the MDRD study equation for estimated glomerular filtration rate. </w:t>
      </w:r>
      <w:r w:rsidRPr="009910AD">
        <w:rPr>
          <w:rFonts w:cs="Arial"/>
          <w:sz w:val="16"/>
          <w:szCs w:val="16"/>
          <w:lang w:val="en-US"/>
        </w:rPr>
        <w:t>JAMA 2012;307(18):1941-1951.</w:t>
      </w:r>
    </w:p>
  </w:endnote>
  <w:endnote w:id="31">
    <w:p w:rsidR="00651852" w:rsidRPr="00527474" w:rsidRDefault="00651852">
      <w:pPr>
        <w:pStyle w:val="Textonotaalfinal"/>
        <w:rPr>
          <w:lang w:val="en-US"/>
        </w:rPr>
      </w:pPr>
      <w:r w:rsidRPr="009A7C55">
        <w:rPr>
          <w:rStyle w:val="Refdenotaalfinal"/>
          <w:rFonts w:cs="Arial"/>
          <w:sz w:val="16"/>
          <w:szCs w:val="16"/>
        </w:rPr>
        <w:endnoteRef/>
      </w:r>
      <w:r>
        <w:rPr>
          <w:rFonts w:cs="Arial"/>
          <w:sz w:val="16"/>
          <w:szCs w:val="16"/>
        </w:rPr>
        <w:t>S</w:t>
      </w:r>
      <w:r w:rsidRPr="004277F6">
        <w:rPr>
          <w:rFonts w:cs="Arial"/>
          <w:sz w:val="16"/>
          <w:szCs w:val="16"/>
        </w:rPr>
        <w:t xml:space="preserve">chaeffner ES, Ebert N, Delanaye P et al. </w:t>
      </w:r>
      <w:r w:rsidRPr="004277F6">
        <w:rPr>
          <w:rFonts w:cs="Arial"/>
          <w:sz w:val="16"/>
          <w:szCs w:val="16"/>
          <w:lang w:val="en-US"/>
        </w:rPr>
        <w:t xml:space="preserve">Two novel equations to estimate kidney function in persons aged 70 years or older. </w:t>
      </w:r>
      <w:r w:rsidRPr="00527474">
        <w:rPr>
          <w:rFonts w:cs="Arial"/>
          <w:sz w:val="16"/>
          <w:szCs w:val="16"/>
          <w:lang w:val="en-US"/>
        </w:rPr>
        <w:t>Ann Intern Med 2012;157(7):471-481</w:t>
      </w:r>
    </w:p>
  </w:endnote>
  <w:endnote w:id="32">
    <w:p w:rsidR="00651852" w:rsidRPr="009910AD" w:rsidRDefault="00651852" w:rsidP="007E30EB">
      <w:pPr>
        <w:pStyle w:val="Textonotaalfinal"/>
        <w:rPr>
          <w:lang w:val="en-US"/>
        </w:rPr>
      </w:pPr>
      <w:r w:rsidRPr="009A7C55">
        <w:rPr>
          <w:rStyle w:val="Refdenotaalfinal"/>
          <w:rFonts w:cs="Arial"/>
          <w:sz w:val="16"/>
          <w:szCs w:val="16"/>
        </w:rPr>
        <w:endnoteRef/>
      </w:r>
      <w:r w:rsidRPr="009B3042">
        <w:rPr>
          <w:rFonts w:cs="Arial"/>
          <w:sz w:val="16"/>
          <w:szCs w:val="16"/>
          <w:lang w:val="en-US"/>
        </w:rPr>
        <w:t xml:space="preserve">Montanes-Bermudez R, Gracia-Garcia S. Use of estimated glomerular filtration formulas for dose adjustment. </w:t>
      </w:r>
      <w:r w:rsidRPr="009910AD">
        <w:rPr>
          <w:rFonts w:cs="Arial"/>
          <w:sz w:val="16"/>
          <w:szCs w:val="16"/>
          <w:lang w:val="en-US"/>
        </w:rPr>
        <w:t>Nefrologia 2012;32(2):253-255</w:t>
      </w:r>
    </w:p>
  </w:endnote>
  <w:endnote w:id="33">
    <w:p w:rsidR="00651852" w:rsidRPr="00244544" w:rsidRDefault="00651852" w:rsidP="007E30EB">
      <w:pPr>
        <w:pStyle w:val="Textonotaalfinal"/>
        <w:rPr>
          <w:lang w:val="en-US"/>
        </w:rPr>
      </w:pPr>
      <w:r w:rsidRPr="009A7C55">
        <w:rPr>
          <w:rStyle w:val="Refdenotaalfinal"/>
          <w:rFonts w:cs="Arial"/>
          <w:sz w:val="16"/>
          <w:szCs w:val="16"/>
        </w:rPr>
        <w:endnoteRef/>
      </w:r>
      <w:r w:rsidRPr="00527474">
        <w:rPr>
          <w:rFonts w:cs="Arial"/>
          <w:sz w:val="16"/>
          <w:szCs w:val="16"/>
        </w:rPr>
        <w:t xml:space="preserve">Gracia S, Montañés R, Bover J, Cases A, Deulofeu R, Martín de Francisco AL, Orte LM; Sociedad Española de Nefrología. </w:t>
      </w:r>
      <w:r w:rsidRPr="009B3042">
        <w:rPr>
          <w:rFonts w:cs="Arial"/>
          <w:sz w:val="16"/>
          <w:szCs w:val="16"/>
          <w:lang w:val="en-US"/>
        </w:rPr>
        <w:t xml:space="preserve">Recommendations for the use of equations to estimate glomerular filtration rate in adults. </w:t>
      </w:r>
      <w:r w:rsidRPr="00527474">
        <w:rPr>
          <w:rFonts w:cs="Arial"/>
          <w:sz w:val="16"/>
          <w:szCs w:val="16"/>
          <w:lang w:val="en-US"/>
        </w:rPr>
        <w:t>Spanish Society of Nephrology. Nefrologia. 2006;26(6):658-65</w:t>
      </w:r>
    </w:p>
  </w:endnote>
  <w:endnote w:id="34">
    <w:p w:rsidR="00651852" w:rsidRPr="00527474" w:rsidRDefault="00651852" w:rsidP="00527474">
      <w:pPr>
        <w:pStyle w:val="Textonotaalfinal"/>
        <w:jc w:val="left"/>
        <w:rPr>
          <w:lang w:val="en-US"/>
        </w:rPr>
      </w:pPr>
      <w:r w:rsidRPr="00527474">
        <w:rPr>
          <w:rStyle w:val="Refdenotaalfinal"/>
          <w:rFonts w:cs="Arial"/>
          <w:sz w:val="16"/>
          <w:szCs w:val="16"/>
        </w:rPr>
        <w:endnoteRef/>
      </w:r>
      <w:r w:rsidRPr="00527474">
        <w:rPr>
          <w:rFonts w:cs="Arial"/>
          <w:sz w:val="16"/>
          <w:szCs w:val="16"/>
          <w:lang w:val="en-US"/>
        </w:rPr>
        <w:t>FDA Drat guidance. March 2010 disponible en http//www.fda.gov/downloads/Drugs/GuidanceComplianceRegulatoryInformation/Guidances/UCM204959.pdf</w:t>
      </w:r>
    </w:p>
  </w:endnote>
  <w:endnote w:id="35">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da-DK"/>
        </w:rPr>
        <w:t xml:space="preserve">Shlipak </w:t>
      </w:r>
      <w:r w:rsidRPr="00527474">
        <w:rPr>
          <w:rFonts w:cs="Arial"/>
          <w:sz w:val="16"/>
          <w:szCs w:val="16"/>
          <w:lang w:val="da-DK"/>
        </w:rPr>
        <w:t>MG, Sarnak MJ, Katz R et al. Cystatin C and the risk of death and cardiovascular events among elderly persons. N Engl J Med 2005;352(20):2049-2060.</w:t>
      </w:r>
    </w:p>
  </w:endnote>
  <w:endnote w:id="36">
    <w:p w:rsidR="00651852" w:rsidRPr="00244544" w:rsidRDefault="00651852" w:rsidP="007E30EB">
      <w:pPr>
        <w:pStyle w:val="Textonotaalfinal"/>
        <w:rPr>
          <w:lang w:val="en-US"/>
        </w:rPr>
      </w:pPr>
      <w:r w:rsidRPr="009A7C55">
        <w:rPr>
          <w:rStyle w:val="Refdenotaalfinal"/>
          <w:rFonts w:cs="Arial"/>
          <w:sz w:val="16"/>
          <w:szCs w:val="16"/>
        </w:rPr>
        <w:endnoteRef/>
      </w:r>
      <w:r w:rsidRPr="00527474">
        <w:rPr>
          <w:rFonts w:cs="Arial"/>
          <w:sz w:val="16"/>
          <w:szCs w:val="16"/>
          <w:lang w:val="da-DK"/>
        </w:rPr>
        <w:t>Grubb A, Nyman U, Björk J, Lindström V, Rippe B, Sterner G, et al. Simple cystatin C-based prediction equations for glomerular filtration rate compared with the modification of diet in renal disease prediction equation for adults and the Schwartz and the Counahan-Barratt prediction equations for children. Clin Chem 2005;51(8):1420-31</w:t>
      </w:r>
    </w:p>
  </w:endnote>
  <w:endnote w:id="37">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Herget-</w:t>
      </w:r>
      <w:r w:rsidRPr="00527474">
        <w:rPr>
          <w:lang w:val="en-US"/>
        </w:rPr>
        <w:t xml:space="preserve"> </w:t>
      </w:r>
      <w:r w:rsidRPr="00527474">
        <w:rPr>
          <w:rFonts w:cs="Arial"/>
          <w:sz w:val="16"/>
          <w:szCs w:val="16"/>
          <w:lang w:val="en-US"/>
        </w:rPr>
        <w:t>Rosenthal S, Bökenkamp A, Hofmann W. How to estimate GFR-serum creatinine, serum cystatin C or equations? Clin Biochem 2007;40(3-4):153-61</w:t>
      </w:r>
    </w:p>
  </w:endnote>
  <w:endnote w:id="38">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Tidman M, Sjöstrom, Jones I. A comparison of GFR estimating formulae based upon s-cystatin C and s-creatinine and a combination of the two. Nephrol Dial Transplant 2008;23(1):154-60.</w:t>
      </w:r>
    </w:p>
  </w:endnote>
  <w:endnote w:id="39">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Madero M, Sarnak MJ, Stevens LA. Serum cystatin C as a marker of glomerular filtration rate. Curr Opin Nephrol Hypertens 2006;15(6):610-6.</w:t>
      </w:r>
    </w:p>
  </w:endnote>
  <w:endnote w:id="40">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Stevens LA,</w:t>
      </w:r>
      <w:r w:rsidRPr="00527474">
        <w:rPr>
          <w:lang w:val="en-US"/>
        </w:rPr>
        <w:t xml:space="preserve"> </w:t>
      </w:r>
      <w:r w:rsidRPr="00527474">
        <w:rPr>
          <w:rFonts w:cs="Arial"/>
          <w:sz w:val="16"/>
          <w:szCs w:val="16"/>
          <w:lang w:val="en-US"/>
        </w:rPr>
        <w:t>Coresh J, Schmid CH, Feldman HI, Froissart M, Kusek J, et al. Estimating GFR using serum cystatin C alone and in combination with serum creatinine: a pooled analysis of 3.418 individuals with CKD. Am J Kidney Dis 2008;51:395-406.</w:t>
      </w:r>
    </w:p>
  </w:endnote>
  <w:endnote w:id="41">
    <w:p w:rsidR="00651852" w:rsidRPr="00244544" w:rsidRDefault="00651852" w:rsidP="007E30EB">
      <w:pPr>
        <w:pStyle w:val="Textonotaalfinal"/>
        <w:rPr>
          <w:lang w:val="en-US"/>
        </w:rPr>
      </w:pPr>
      <w:r w:rsidRPr="009A7C55">
        <w:rPr>
          <w:rStyle w:val="Refdenotaalfinal"/>
          <w:rFonts w:cs="Arial"/>
          <w:sz w:val="16"/>
          <w:szCs w:val="16"/>
        </w:rPr>
        <w:endnoteRef/>
      </w:r>
      <w:r>
        <w:rPr>
          <w:rFonts w:cs="Arial"/>
          <w:sz w:val="16"/>
          <w:szCs w:val="16"/>
          <w:lang w:val="en-US"/>
        </w:rPr>
        <w:t>Stevens LA</w:t>
      </w:r>
      <w:r w:rsidRPr="00921842">
        <w:rPr>
          <w:lang w:val="en-US"/>
        </w:rPr>
        <w:t xml:space="preserve"> </w:t>
      </w:r>
      <w:r w:rsidRPr="00921842">
        <w:rPr>
          <w:rFonts w:cs="Arial"/>
          <w:sz w:val="16"/>
          <w:szCs w:val="16"/>
          <w:lang w:val="en-US"/>
        </w:rPr>
        <w:t>Schmid CH, Greene T et al. Factors other than glomerular filtration rate affect serum cystatin C levels. Kidney Int 2009;75(6):652-660.</w:t>
      </w:r>
    </w:p>
  </w:endnote>
  <w:endnote w:id="42">
    <w:p w:rsidR="00651852" w:rsidRPr="006F3E47" w:rsidRDefault="00651852">
      <w:pPr>
        <w:pStyle w:val="Textonotaalfinal"/>
        <w:rPr>
          <w:rFonts w:cs="Arial"/>
          <w:sz w:val="16"/>
          <w:szCs w:val="16"/>
          <w:lang w:val="en-US"/>
        </w:rPr>
      </w:pPr>
      <w:r w:rsidRPr="006F3E47">
        <w:rPr>
          <w:rStyle w:val="Refdenotaalfinal"/>
          <w:rFonts w:cs="Arial"/>
          <w:sz w:val="16"/>
          <w:szCs w:val="16"/>
        </w:rPr>
        <w:endnoteRef/>
      </w:r>
      <w:r w:rsidRPr="006F3E47">
        <w:rPr>
          <w:rFonts w:cs="Arial"/>
          <w:sz w:val="16"/>
          <w:szCs w:val="16"/>
          <w:lang w:val="en-US"/>
        </w:rPr>
        <w:t>Inker LA, Shaffi K, Levey AS. Estimating glomerular filtration rate using the chronic kidney disease-epidemiology collaboration creatinine equation: better risk predictions. Circ Heart Fail 2012;5(3):303-306</w:t>
      </w:r>
    </w:p>
  </w:endnote>
  <w:endnote w:id="43">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en-US"/>
        </w:rPr>
        <w:t>Bover</w:t>
      </w:r>
      <w:r>
        <w:rPr>
          <w:rFonts w:cs="Arial"/>
          <w:sz w:val="16"/>
          <w:szCs w:val="16"/>
          <w:lang w:val="en-US"/>
        </w:rPr>
        <w:t xml:space="preserve"> </w:t>
      </w:r>
      <w:r w:rsidRPr="006F3E47">
        <w:rPr>
          <w:rFonts w:cs="Arial"/>
          <w:sz w:val="16"/>
          <w:szCs w:val="16"/>
          <w:lang w:val="en-US"/>
        </w:rPr>
        <w:t>J, Fernandez-Llama P, Montanes R, Calero F. [Albuminuria: beyond the kidney]. Med Clin (Barc ) 2008;130(1):20-23.</w:t>
      </w:r>
    </w:p>
  </w:endnote>
  <w:endnote w:id="44">
    <w:p w:rsidR="00651852" w:rsidRPr="006F3E47" w:rsidRDefault="00651852">
      <w:pPr>
        <w:pStyle w:val="Textonotaalfinal"/>
        <w:rPr>
          <w:rFonts w:cs="Arial"/>
          <w:sz w:val="16"/>
          <w:szCs w:val="16"/>
          <w:lang w:val="en-US"/>
        </w:rPr>
      </w:pPr>
      <w:r>
        <w:rPr>
          <w:rStyle w:val="Refdenotaalfinal"/>
        </w:rPr>
        <w:endnoteRef/>
      </w:r>
      <w:r w:rsidRPr="006F3E47">
        <w:rPr>
          <w:rFonts w:cs="Arial"/>
          <w:sz w:val="16"/>
          <w:szCs w:val="16"/>
          <w:lang w:val="en-US"/>
        </w:rPr>
        <w:t>Fernandez-Llama P, Bover J. Is albuminuria a marker of arterial remodeling? J Hypertens 2008;26(4):633-635</w:t>
      </w:r>
    </w:p>
  </w:endnote>
  <w:endnote w:id="45">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fr-FR"/>
        </w:rPr>
        <w:t>Remuz</w:t>
      </w:r>
      <w:r>
        <w:rPr>
          <w:rFonts w:cs="Arial"/>
          <w:sz w:val="16"/>
          <w:szCs w:val="16"/>
          <w:lang w:val="fr-FR"/>
        </w:rPr>
        <w:t xml:space="preserve">zi </w:t>
      </w:r>
      <w:r w:rsidRPr="006F3E47">
        <w:rPr>
          <w:rFonts w:cs="Arial"/>
          <w:sz w:val="16"/>
          <w:szCs w:val="16"/>
          <w:lang w:val="fr-FR"/>
        </w:rPr>
        <w:t>G, Benigni A, Remuzzi A. Mechanisms of progression and regression of renal lesions of chronic nephropathies and diabetes. J Clin Invest 2006;116(2):288-296.</w:t>
      </w:r>
    </w:p>
  </w:endnote>
  <w:endnote w:id="46">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nl-NL"/>
        </w:rPr>
        <w:t xml:space="preserve">de Jong et al, </w:t>
      </w:r>
      <w:r w:rsidRPr="007463DF">
        <w:rPr>
          <w:rFonts w:cs="Arial"/>
          <w:sz w:val="16"/>
          <w:szCs w:val="16"/>
          <w:lang w:val="nl-NL"/>
        </w:rPr>
        <w:t>Curhan GC. Screening, monitoring, and treatment of albuminuria: Public health perspectives. J Am Soc Nephrol 2006;17(8):2120-2126.</w:t>
      </w:r>
    </w:p>
  </w:endnote>
  <w:endnote w:id="47">
    <w:p w:rsidR="00651852" w:rsidRPr="009B3042" w:rsidRDefault="00651852" w:rsidP="007E30EB">
      <w:pPr>
        <w:pStyle w:val="Textonotaalfinal"/>
        <w:rPr>
          <w:lang w:val="en-US"/>
        </w:rPr>
      </w:pPr>
      <w:r w:rsidRPr="009A7C55">
        <w:rPr>
          <w:rStyle w:val="Refdenotaalfinal"/>
          <w:rFonts w:cs="Arial"/>
          <w:sz w:val="16"/>
          <w:szCs w:val="16"/>
        </w:rPr>
        <w:endnoteRef/>
      </w:r>
      <w:r>
        <w:rPr>
          <w:rFonts w:cs="Arial"/>
          <w:sz w:val="16"/>
          <w:szCs w:val="16"/>
          <w:lang w:val="da-DK"/>
        </w:rPr>
        <w:t xml:space="preserve">Hemmelgarn et </w:t>
      </w:r>
      <w:r w:rsidRPr="007463DF">
        <w:rPr>
          <w:rFonts w:cs="Arial"/>
          <w:sz w:val="16"/>
          <w:szCs w:val="16"/>
          <w:lang w:val="da-DK"/>
        </w:rPr>
        <w:t>Manns BJ, Lloyd A et al. Relation between kidney function, proteinuria, and adverse outcomes. JAMA 2010;303(5):423-429.</w:t>
      </w:r>
    </w:p>
  </w:endnote>
  <w:endnote w:id="48">
    <w:p w:rsidR="00651852" w:rsidRPr="007463DF" w:rsidRDefault="00651852" w:rsidP="007E30EB">
      <w:pPr>
        <w:pStyle w:val="Textonotaalfinal"/>
        <w:rPr>
          <w:lang w:val="en-US"/>
        </w:rPr>
      </w:pPr>
      <w:r w:rsidRPr="009A7C55">
        <w:rPr>
          <w:rStyle w:val="Refdenotaalfinal"/>
          <w:rFonts w:cs="Arial"/>
          <w:sz w:val="16"/>
          <w:szCs w:val="16"/>
        </w:rPr>
        <w:endnoteRef/>
      </w:r>
      <w:r>
        <w:rPr>
          <w:rFonts w:cs="Arial"/>
          <w:sz w:val="16"/>
          <w:szCs w:val="16"/>
          <w:lang w:val="da-DK"/>
        </w:rPr>
        <w:t>Matshushita</w:t>
      </w:r>
      <w:r w:rsidRPr="007463DF">
        <w:rPr>
          <w:rFonts w:cs="Arial"/>
          <w:sz w:val="16"/>
          <w:szCs w:val="16"/>
          <w:lang w:val="da-DK"/>
        </w:rPr>
        <w:t>, V, Astor BC et al. Association of estimated glomerular filtration rate and albuminuria with all-cause and cardiovascular mortality in general population cohorts: a collaborative meta-analysis. Lancet 2010;375(9731):2073-2081.</w:t>
      </w:r>
    </w:p>
  </w:endnote>
  <w:endnote w:id="49">
    <w:p w:rsidR="00651852" w:rsidRPr="007463DF" w:rsidRDefault="00651852" w:rsidP="007E30EB">
      <w:pPr>
        <w:pStyle w:val="Textonotaalfinal"/>
        <w:rPr>
          <w:lang w:val="en-US"/>
        </w:rPr>
      </w:pPr>
      <w:r w:rsidRPr="009A7C55">
        <w:rPr>
          <w:rStyle w:val="Refdenotaalfinal"/>
          <w:rFonts w:cs="Arial"/>
          <w:sz w:val="16"/>
          <w:szCs w:val="16"/>
        </w:rPr>
        <w:endnoteRef/>
      </w:r>
      <w:r>
        <w:rPr>
          <w:rFonts w:cs="Arial"/>
          <w:sz w:val="16"/>
          <w:szCs w:val="16"/>
          <w:lang w:val="da-DK"/>
        </w:rPr>
        <w:t>Velde vd</w:t>
      </w:r>
      <w:r w:rsidRPr="007463DF">
        <w:rPr>
          <w:rFonts w:cs="Arial"/>
          <w:sz w:val="16"/>
          <w:szCs w:val="16"/>
          <w:lang w:val="da-DK"/>
        </w:rPr>
        <w:t>, Matsushita K, Coresh J et al. Lower estimated glomerular filtration rate and higher albuminuria are associated with all-cause and cardiovascular mortality. A collaborative meta-analysis of high-risk population cohorts. Kidney Int 2011;79(12):1341-1352.</w:t>
      </w:r>
    </w:p>
  </w:endnote>
  <w:endnote w:id="50">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da-DK"/>
        </w:rPr>
        <w:t xml:space="preserve">Astor </w:t>
      </w:r>
      <w:r w:rsidRPr="007463DF">
        <w:rPr>
          <w:rFonts w:cs="Arial"/>
          <w:sz w:val="16"/>
          <w:szCs w:val="16"/>
          <w:lang w:val="da-DK"/>
        </w:rPr>
        <w:t>Matsushita K, Gansevoort RT et al. Lower estimated glomerular filtration rate and higher albuminuria are associated with mortality and end-stage renal disease. A collaborative meta-analysis of kidney disease population cohorts. Kidney Int 2011;79(12):1331-1340</w:t>
      </w:r>
    </w:p>
  </w:endnote>
  <w:endnote w:id="51">
    <w:p w:rsidR="00651852" w:rsidRPr="00244544" w:rsidRDefault="00651852" w:rsidP="007E30EB">
      <w:pPr>
        <w:pStyle w:val="Textonotaalfinal"/>
        <w:rPr>
          <w:lang w:val="en-US"/>
        </w:rPr>
      </w:pPr>
      <w:r w:rsidRPr="009A7C55">
        <w:rPr>
          <w:rStyle w:val="Refdenotaalfinal"/>
          <w:rFonts w:cs="Arial"/>
          <w:sz w:val="16"/>
          <w:szCs w:val="16"/>
        </w:rPr>
        <w:endnoteRef/>
      </w:r>
      <w:r w:rsidRPr="009A7C55">
        <w:rPr>
          <w:rFonts w:cs="Arial"/>
          <w:sz w:val="16"/>
          <w:szCs w:val="16"/>
          <w:lang w:val="da-DK"/>
        </w:rPr>
        <w:t xml:space="preserve">Eknoyan G et al, </w:t>
      </w:r>
      <w:r w:rsidRPr="0028115E">
        <w:rPr>
          <w:rFonts w:cs="Arial"/>
          <w:sz w:val="16"/>
          <w:szCs w:val="16"/>
          <w:lang w:val="da-DK"/>
        </w:rPr>
        <w:t>Hostetter T, Bakris GL et al. Proteinuria and other markers of chronic kidney disease: a position statement of the national kidney foundation (NKF) and the national institute of diabetes and digestive and kidney diseases (NIDDK). Am J Kidney Dis 2003;42(4):617-622.</w:t>
      </w:r>
    </w:p>
  </w:endnote>
  <w:endnote w:id="52">
    <w:p w:rsidR="00651852" w:rsidRPr="0028115E" w:rsidRDefault="00651852">
      <w:pPr>
        <w:pStyle w:val="Textonotaalfinal"/>
        <w:rPr>
          <w:lang w:val="en-US"/>
        </w:rPr>
      </w:pPr>
      <w:r w:rsidRPr="0028115E">
        <w:rPr>
          <w:rStyle w:val="Refdenotaalfinal"/>
          <w:rFonts w:cs="Arial"/>
        </w:rPr>
        <w:endnoteRef/>
      </w:r>
      <w:r w:rsidRPr="0028115E">
        <w:rPr>
          <w:rFonts w:cs="Arial"/>
          <w:sz w:val="16"/>
          <w:szCs w:val="16"/>
          <w:lang w:val="da-DK"/>
        </w:rPr>
        <w:t>Miller WG, Bruns DE, Hortin GL et al. Current issues in measurement and reporting of urinary albumin excretion. Clin Chem 2009;55(1):24-38.</w:t>
      </w:r>
    </w:p>
  </w:endnote>
  <w:endnote w:id="53">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lang w:val="en-US"/>
        </w:rPr>
        <w:t>National Collaborating Centre for Chronic Conditions. Chronic kidney disease: national clinical guideline for early identification and management in adults in primary and secondary care. London: Royal College of Physicians; 2008.</w:t>
      </w:r>
    </w:p>
  </w:endnote>
  <w:endnote w:id="54">
    <w:p w:rsidR="00651852" w:rsidRPr="00A925A6" w:rsidRDefault="00651852" w:rsidP="00DD4CD8">
      <w:pPr>
        <w:pStyle w:val="Textonotaalfinal"/>
        <w:rPr>
          <w:lang w:val="en-US"/>
        </w:rPr>
      </w:pPr>
      <w:r w:rsidRPr="00A925A6">
        <w:rPr>
          <w:rStyle w:val="Refdenotaalfinal"/>
          <w:rFonts w:cs="Arial"/>
          <w:sz w:val="16"/>
          <w:szCs w:val="16"/>
        </w:rPr>
        <w:endnoteRef/>
      </w:r>
      <w:r w:rsidRPr="009B3042">
        <w:rPr>
          <w:rFonts w:cs="Arial"/>
          <w:sz w:val="16"/>
          <w:szCs w:val="16"/>
          <w:lang w:val="en-US"/>
        </w:rPr>
        <w:t xml:space="preserve">Halbesma N, Kuiken DS, Brantsma AH et al. </w:t>
      </w:r>
      <w:r w:rsidRPr="00A925A6">
        <w:rPr>
          <w:rFonts w:cs="Arial"/>
          <w:sz w:val="16"/>
          <w:szCs w:val="16"/>
          <w:lang w:val="en-US"/>
        </w:rPr>
        <w:t>Macroalbuminuria is a better risk marker than low estimated GFR to identify individuals at risk for accelerated GFR loss in population screening. J Am Soc Nephrol 2006; 17:2582–2590.</w:t>
      </w:r>
    </w:p>
  </w:endnote>
  <w:endnote w:id="55">
    <w:p w:rsidR="00651852" w:rsidRPr="00A925A6" w:rsidRDefault="00651852" w:rsidP="00DD4CD8">
      <w:pPr>
        <w:pStyle w:val="Textonotaalfinal"/>
      </w:pPr>
      <w:r w:rsidRPr="009A7C55">
        <w:rPr>
          <w:rStyle w:val="Refdenotaalfinal"/>
          <w:rFonts w:cs="Arial"/>
          <w:sz w:val="16"/>
          <w:szCs w:val="16"/>
        </w:rPr>
        <w:endnoteRef/>
      </w:r>
      <w:r w:rsidRPr="009A7C55">
        <w:rPr>
          <w:rFonts w:cs="Arial"/>
          <w:sz w:val="16"/>
          <w:szCs w:val="16"/>
          <w:lang w:val="en-US"/>
        </w:rPr>
        <w:t xml:space="preserve">Levey A, </w:t>
      </w:r>
      <w:r w:rsidRPr="00A925A6">
        <w:rPr>
          <w:rFonts w:cs="Arial"/>
          <w:sz w:val="16"/>
          <w:szCs w:val="16"/>
          <w:lang w:val="en-US"/>
        </w:rPr>
        <w:t xml:space="preserve">Coresh J. Chronic kidney disease. </w:t>
      </w:r>
      <w:r w:rsidRPr="00A925A6">
        <w:rPr>
          <w:rFonts w:cs="Arial"/>
          <w:sz w:val="16"/>
          <w:szCs w:val="16"/>
        </w:rPr>
        <w:t>Lancet 2011; 14;379:165-8.</w:t>
      </w:r>
    </w:p>
  </w:endnote>
  <w:endnote w:id="56">
    <w:p w:rsidR="00651852" w:rsidRPr="00244544" w:rsidRDefault="00651852" w:rsidP="00DD4CD8">
      <w:pPr>
        <w:pStyle w:val="Textonotaalfinal"/>
        <w:rPr>
          <w:lang w:val="en-US"/>
        </w:rPr>
      </w:pPr>
      <w:r w:rsidRPr="009A7C55">
        <w:rPr>
          <w:rStyle w:val="Refdenotaalfinal"/>
          <w:rFonts w:cs="Arial"/>
          <w:sz w:val="16"/>
          <w:szCs w:val="16"/>
        </w:rPr>
        <w:endnoteRef/>
      </w:r>
      <w:r w:rsidRPr="00A925A6">
        <w:rPr>
          <w:rFonts w:cs="Arial"/>
          <w:sz w:val="16"/>
          <w:szCs w:val="16"/>
        </w:rPr>
        <w:t xml:space="preserve">Hallan SI et al. </w:t>
      </w:r>
      <w:r w:rsidRPr="00A925A6">
        <w:rPr>
          <w:rFonts w:cs="Arial"/>
          <w:sz w:val="16"/>
          <w:szCs w:val="16"/>
          <w:lang w:val="en-US"/>
        </w:rPr>
        <w:t xml:space="preserve">Combining GFR and albuminuria to classify CKD improves prediction of ESRD. </w:t>
      </w:r>
      <w:r w:rsidRPr="009A5B8B">
        <w:rPr>
          <w:rFonts w:cs="Arial"/>
          <w:sz w:val="16"/>
          <w:szCs w:val="16"/>
          <w:lang w:val="en-US"/>
        </w:rPr>
        <w:t>J Am Soc Nephrol 2009; 20:1069-77.</w:t>
      </w:r>
    </w:p>
  </w:endnote>
  <w:endnote w:id="57">
    <w:p w:rsidR="00651852" w:rsidRDefault="00651852" w:rsidP="00DD4CD8">
      <w:pPr>
        <w:pStyle w:val="Textonotaalfinal"/>
      </w:pPr>
      <w:r w:rsidRPr="009A7C55">
        <w:rPr>
          <w:rStyle w:val="Refdenotaalfinal"/>
          <w:rFonts w:cs="Arial"/>
          <w:sz w:val="16"/>
          <w:szCs w:val="16"/>
        </w:rPr>
        <w:endnoteRef/>
      </w:r>
      <w:r w:rsidRPr="009A7C55">
        <w:rPr>
          <w:rFonts w:cs="Arial"/>
          <w:sz w:val="16"/>
          <w:szCs w:val="16"/>
          <w:lang w:val="en-US"/>
        </w:rPr>
        <w:t xml:space="preserve">Klahr S, </w:t>
      </w:r>
      <w:r w:rsidRPr="009A5B8B">
        <w:rPr>
          <w:rFonts w:cs="Arial"/>
          <w:sz w:val="16"/>
          <w:szCs w:val="16"/>
          <w:lang w:val="en-US"/>
        </w:rPr>
        <w:t xml:space="preserve">Levey AS, Beck GJ y cols. (modification of Diet in Renal Disease study Group): The effects of dietary protein restriction an blood pressure control on the progression of chronic renal disease. </w:t>
      </w:r>
      <w:r w:rsidRPr="009B3042">
        <w:rPr>
          <w:rFonts w:cs="Arial"/>
          <w:sz w:val="16"/>
          <w:szCs w:val="16"/>
        </w:rPr>
        <w:t>N Engl Med 1994;330: 884-887.</w:t>
      </w:r>
    </w:p>
  </w:endnote>
  <w:endnote w:id="58">
    <w:p w:rsidR="00651852" w:rsidRPr="00244544" w:rsidRDefault="00651852" w:rsidP="00DD4CD8">
      <w:pPr>
        <w:pStyle w:val="Textonotaalfinal"/>
        <w:rPr>
          <w:lang w:val="en-US"/>
        </w:rPr>
      </w:pPr>
      <w:r w:rsidRPr="009A7C55">
        <w:rPr>
          <w:rStyle w:val="Refdenotaalfinal"/>
          <w:rFonts w:cs="Arial"/>
          <w:sz w:val="16"/>
          <w:szCs w:val="16"/>
        </w:rPr>
        <w:endnoteRef/>
      </w:r>
      <w:r w:rsidRPr="00244544">
        <w:rPr>
          <w:rFonts w:cs="Arial"/>
          <w:sz w:val="16"/>
          <w:szCs w:val="16"/>
        </w:rPr>
        <w:t xml:space="preserve">Hallan SI, Coresh J, Astor BC et al. </w:t>
      </w:r>
      <w:r w:rsidRPr="009A7C55">
        <w:rPr>
          <w:rFonts w:cs="Arial"/>
          <w:sz w:val="16"/>
          <w:szCs w:val="16"/>
          <w:lang w:val="en-US"/>
        </w:rPr>
        <w:t>International comparison of the relationship of chronic kidney disease prevalence and ESRD risk. J Am Soc Nephrol. 2006; 17:2275–2284.</w:t>
      </w:r>
    </w:p>
  </w:endnote>
  <w:endnote w:id="59">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lang w:val="en-US"/>
        </w:rPr>
        <w:t>ADVANCE Collaborative Group, Patel A, MacMahon S, Chalmers J, Neal B, Billot L, Woodward M, Marre M, Cooper M, Glasziou P, Grobbee D, Hamet P, Harrap S, Heller S, Liu L, Mancia G, Mogensen CE, Pan C, Poulter N,Rodgers A, Williams B, Bompoint S, de Galan BE, Joshi R, Travert F. Intensive blood glucose control and vascular outcomes in patients with type 2 diabetes. N Engl J Med 2008;358:2560-2572.</w:t>
      </w:r>
    </w:p>
  </w:endnote>
  <w:endnote w:id="60">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lang w:val="en-US"/>
        </w:rPr>
        <w:t xml:space="preserve">Elsayed EF, Tighiouart H, Griffith J et al. Cardiovascular disease and subsequent kidney disease. </w:t>
      </w:r>
      <w:r w:rsidRPr="009A7C55">
        <w:rPr>
          <w:rFonts w:cs="Arial"/>
          <w:sz w:val="16"/>
          <w:szCs w:val="16"/>
          <w:lang w:val="de-DE"/>
        </w:rPr>
        <w:t>Arch Int Med 2007; 167:1130–1136.</w:t>
      </w:r>
    </w:p>
  </w:endnote>
  <w:endnote w:id="61">
    <w:p w:rsidR="00651852" w:rsidRDefault="00651852" w:rsidP="00DD4CD8">
      <w:pPr>
        <w:pStyle w:val="Textonotaalfinal"/>
      </w:pPr>
      <w:r w:rsidRPr="009A7C55">
        <w:rPr>
          <w:rStyle w:val="Refdenotaalfinal"/>
          <w:rFonts w:cs="Arial"/>
          <w:sz w:val="16"/>
          <w:szCs w:val="16"/>
        </w:rPr>
        <w:endnoteRef/>
      </w:r>
      <w:r w:rsidRPr="009A7C55">
        <w:rPr>
          <w:rFonts w:cs="Arial"/>
          <w:sz w:val="16"/>
          <w:szCs w:val="16"/>
          <w:lang w:val="de-DE"/>
        </w:rPr>
        <w:t xml:space="preserve">Orth SR, Schroeder T, Ritz E et al. </w:t>
      </w:r>
      <w:r w:rsidRPr="009A7C55">
        <w:rPr>
          <w:rFonts w:cs="Arial"/>
          <w:sz w:val="16"/>
          <w:szCs w:val="16"/>
          <w:lang w:val="en-US"/>
        </w:rPr>
        <w:t xml:space="preserve">Effects of smoking on renal function in patients with type 1 and type 2 diabetes mellitus. </w:t>
      </w:r>
      <w:r w:rsidRPr="009A7C55">
        <w:rPr>
          <w:rFonts w:cs="Arial"/>
          <w:sz w:val="16"/>
          <w:szCs w:val="16"/>
        </w:rPr>
        <w:t>Nephrol Dial Transplant 2005; 20:2414–2419.</w:t>
      </w:r>
    </w:p>
  </w:endnote>
  <w:endnote w:id="62">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rPr>
        <w:t xml:space="preserve">Duran-Perez EG, Almeda-Valdes P, Cuevas-Ramos D et al. </w:t>
      </w:r>
      <w:r w:rsidRPr="009A7C55">
        <w:rPr>
          <w:rFonts w:cs="Arial"/>
          <w:sz w:val="16"/>
          <w:szCs w:val="16"/>
          <w:lang w:val="en-US"/>
        </w:rPr>
        <w:t>Treatment of metabolic syndrome slows progression of diabetic nephropathy. Metab Syndr Relat Disord. 2011; 9:483-9.</w:t>
      </w:r>
    </w:p>
  </w:endnote>
  <w:endnote w:id="63">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lang w:val="en-US"/>
        </w:rPr>
        <w:t>Roderick PJ, Raleigh VS, Hallam L et al. The need and demand for renal replacement therapy in ethnic minorities in England. J Epidemiol Community Health. 1996; 50(3):334–339.</w:t>
      </w:r>
    </w:p>
  </w:endnote>
  <w:endnote w:id="64">
    <w:p w:rsidR="00651852" w:rsidRPr="00244544" w:rsidRDefault="00651852" w:rsidP="00DD4CD8">
      <w:pPr>
        <w:pStyle w:val="Textonotaalfinal"/>
        <w:rPr>
          <w:lang w:val="en-US"/>
        </w:rPr>
      </w:pPr>
      <w:r w:rsidRPr="009A7C55">
        <w:rPr>
          <w:rStyle w:val="Refdenotaalfinal"/>
          <w:rFonts w:cs="Arial"/>
          <w:sz w:val="16"/>
          <w:szCs w:val="16"/>
        </w:rPr>
        <w:endnoteRef/>
      </w:r>
      <w:r w:rsidRPr="009A7C55">
        <w:rPr>
          <w:rFonts w:cs="Arial"/>
          <w:sz w:val="16"/>
          <w:szCs w:val="16"/>
          <w:lang w:val="en-US"/>
        </w:rPr>
        <w:t>Morlans M, Laporte JR, Vidal X et al. End-stage renal disease and non-narcotic analgesics: A case-control study. Br J Clin Pharmacol. 1990; 30(5):717–723.</w:t>
      </w:r>
    </w:p>
  </w:endnote>
  <w:endnote w:id="65">
    <w:p w:rsidR="00651852" w:rsidRPr="00244544" w:rsidRDefault="00651852" w:rsidP="004B66EE">
      <w:pPr>
        <w:pStyle w:val="Textonotaalfinal"/>
        <w:rPr>
          <w:lang w:val="en-US"/>
        </w:rPr>
      </w:pPr>
      <w:r w:rsidRPr="009A7C55">
        <w:rPr>
          <w:rStyle w:val="Refdenotaalfinal"/>
          <w:rFonts w:cs="Arial"/>
          <w:sz w:val="16"/>
          <w:szCs w:val="16"/>
        </w:rPr>
        <w:endnoteRef/>
      </w:r>
      <w:r w:rsidRPr="009A7C55">
        <w:rPr>
          <w:rFonts w:cs="Arial"/>
          <w:sz w:val="16"/>
          <w:szCs w:val="16"/>
          <w:lang w:val="en-US"/>
        </w:rPr>
        <w:t>Navaneethan SD, Aloudat S, Singh S.A systematic review of patient and health system characteristics associated with late referral in chronic kidney disease BMCNephrology 2008, 9:3 doi:10.1186/1471-2369-9-3.</w:t>
      </w:r>
    </w:p>
  </w:endnote>
  <w:endnote w:id="66">
    <w:p w:rsidR="00651852" w:rsidRPr="00244544" w:rsidRDefault="00651852" w:rsidP="004B66EE">
      <w:pPr>
        <w:pStyle w:val="Textonotaalfinal"/>
        <w:rPr>
          <w:lang w:val="en-US"/>
        </w:rPr>
      </w:pPr>
      <w:r w:rsidRPr="009A7C55">
        <w:rPr>
          <w:rStyle w:val="Refdenotaalfinal"/>
          <w:rFonts w:cs="Arial"/>
          <w:sz w:val="16"/>
          <w:szCs w:val="16"/>
        </w:rPr>
        <w:endnoteRef/>
      </w:r>
      <w:r w:rsidRPr="009A7C55">
        <w:rPr>
          <w:rFonts w:cs="Arial"/>
          <w:sz w:val="16"/>
          <w:szCs w:val="16"/>
          <w:lang w:val="en-US"/>
        </w:rPr>
        <w:t>Campbell KH, Smith SG, HemmerichJ,Stankus N, Fox C, Mold JW et al. Patient and provider determinants of nephrology referral in older adults with severe chronic kidney disease: a survey of provider decision-making BMC Nephrology 2011, 12:47.</w:t>
      </w:r>
    </w:p>
  </w:endnote>
  <w:endnote w:id="67">
    <w:p w:rsidR="00651852" w:rsidRDefault="00651852" w:rsidP="00CC4DB8">
      <w:pPr>
        <w:pStyle w:val="Textonotaalfinal"/>
      </w:pPr>
      <w:r w:rsidRPr="009A7C55">
        <w:rPr>
          <w:rStyle w:val="Refdenotaalfinal"/>
          <w:rFonts w:cs="Arial"/>
          <w:sz w:val="16"/>
          <w:szCs w:val="16"/>
        </w:rPr>
        <w:endnoteRef/>
      </w:r>
      <w:r w:rsidRPr="009A7C55">
        <w:rPr>
          <w:rFonts w:cs="Arial"/>
          <w:sz w:val="16"/>
          <w:szCs w:val="16"/>
          <w:lang w:val="en-US"/>
        </w:rPr>
        <w:t xml:space="preserve">Van Pottelbergh G, Bartholomeeusen S, BunixF,DegryseJ.Theevolcution of renal function and the incidence of end-stage renal disease in patients aged &gt;= 50 years. </w:t>
      </w:r>
      <w:r w:rsidRPr="009A7C55">
        <w:rPr>
          <w:rFonts w:cs="Arial"/>
          <w:sz w:val="16"/>
          <w:szCs w:val="16"/>
        </w:rPr>
        <w:t>Nephrol Dial Transplan.2011 Nov 18 (Epub ahead of print).</w:t>
      </w:r>
    </w:p>
  </w:endnote>
  <w:endnote w:id="68">
    <w:p w:rsidR="00651852" w:rsidRPr="00244544" w:rsidRDefault="00651852" w:rsidP="00CC4DB8">
      <w:pPr>
        <w:pStyle w:val="Textonotaalfinal"/>
        <w:rPr>
          <w:lang w:val="en-US"/>
        </w:rPr>
      </w:pPr>
      <w:r w:rsidRPr="009A7C55">
        <w:rPr>
          <w:rStyle w:val="Refdenotaalfinal"/>
          <w:rFonts w:cs="Arial"/>
          <w:sz w:val="16"/>
          <w:szCs w:val="16"/>
        </w:rPr>
        <w:endnoteRef/>
      </w:r>
      <w:r w:rsidRPr="009A7C55">
        <w:rPr>
          <w:rFonts w:cs="Arial"/>
          <w:sz w:val="16"/>
          <w:szCs w:val="16"/>
        </w:rPr>
        <w:t xml:space="preserve">Tejedor A, de las Cuevas X. Cuidado paliativo en el paciente con enfermedad renal crónica avanzado(grado 5) no susceptible de tratamiento dialítico. </w:t>
      </w:r>
      <w:r w:rsidRPr="00244544">
        <w:rPr>
          <w:rFonts w:cs="Arial"/>
          <w:sz w:val="16"/>
          <w:szCs w:val="16"/>
          <w:lang w:val="en-US"/>
        </w:rPr>
        <w:t>Nefrologia 2008(sup 3):129-136.</w:t>
      </w:r>
    </w:p>
  </w:endnote>
  <w:endnote w:id="69">
    <w:p w:rsidR="00651852" w:rsidRPr="00244544" w:rsidRDefault="00651852" w:rsidP="007E74F2">
      <w:pPr>
        <w:pStyle w:val="Textonotaalfinal"/>
        <w:rPr>
          <w:lang w:val="en-US"/>
        </w:rPr>
      </w:pPr>
      <w:r w:rsidRPr="009A7C55">
        <w:rPr>
          <w:rStyle w:val="Refdenotaalfinal"/>
          <w:rFonts w:cs="Arial"/>
          <w:sz w:val="16"/>
          <w:szCs w:val="16"/>
        </w:rPr>
        <w:endnoteRef/>
      </w:r>
      <w:r w:rsidRPr="00244544">
        <w:rPr>
          <w:rFonts w:cs="Arial"/>
          <w:sz w:val="16"/>
          <w:szCs w:val="16"/>
          <w:lang w:val="en-US"/>
        </w:rPr>
        <w:t>U</w:t>
      </w:r>
      <w:r w:rsidRPr="009F25AF">
        <w:rPr>
          <w:rFonts w:cs="Arial"/>
          <w:sz w:val="16"/>
          <w:szCs w:val="16"/>
          <w:lang w:val="en-US"/>
        </w:rPr>
        <w:t>eda J, Nygren A, Hansell P, Erikson U. Influence of contrast media on single nephron glomerular filtration rate in rat kidney. A comparison between diatrizoate, iohexol, ioxaglate, and iotrolan.ActaRadiol. 1992; 33: 596-9.</w:t>
      </w:r>
    </w:p>
  </w:endnote>
  <w:endnote w:id="70">
    <w:p w:rsidR="00651852" w:rsidRPr="00244544" w:rsidRDefault="00651852" w:rsidP="007E74F2">
      <w:pPr>
        <w:pStyle w:val="Textonotaalfinal"/>
        <w:rPr>
          <w:lang w:val="en-US"/>
        </w:rPr>
      </w:pPr>
      <w:r w:rsidRPr="009A7C55">
        <w:rPr>
          <w:rStyle w:val="Refdenotaalfinal"/>
          <w:rFonts w:cs="Arial"/>
          <w:sz w:val="16"/>
          <w:szCs w:val="16"/>
        </w:rPr>
        <w:endnoteRef/>
      </w:r>
      <w:r w:rsidRPr="00244544">
        <w:rPr>
          <w:rFonts w:cs="Arial"/>
          <w:sz w:val="16"/>
          <w:szCs w:val="16"/>
          <w:lang w:val="en-US"/>
        </w:rPr>
        <w:t xml:space="preserve">Marenzi G, Lauri G, Assanelli E, Campodonico J, De Metrio M, Marana I, et al. </w:t>
      </w:r>
      <w:r w:rsidRPr="009A7C55">
        <w:rPr>
          <w:rFonts w:cs="Arial"/>
          <w:sz w:val="16"/>
          <w:szCs w:val="16"/>
          <w:lang w:val="en-US"/>
        </w:rPr>
        <w:t>Contrast-induced nephropathy in patients undergoing primary angioplasty for acute myocardial infarction. J Am CollCardiol. 2004;44:1780-5.</w:t>
      </w:r>
    </w:p>
  </w:endnote>
  <w:endnote w:id="71">
    <w:p w:rsidR="00651852" w:rsidRPr="00244544" w:rsidRDefault="00651852" w:rsidP="00260D0A">
      <w:pPr>
        <w:pStyle w:val="Textonotaalfinal"/>
        <w:rPr>
          <w:lang w:val="en-US"/>
        </w:rPr>
      </w:pPr>
      <w:r w:rsidRPr="009A7C55">
        <w:rPr>
          <w:rStyle w:val="Refdenotaalfinal"/>
          <w:rFonts w:cs="Arial"/>
          <w:sz w:val="16"/>
          <w:szCs w:val="16"/>
        </w:rPr>
        <w:endnoteRef/>
      </w:r>
      <w:r w:rsidRPr="009A7C55">
        <w:rPr>
          <w:rFonts w:cs="Arial"/>
          <w:sz w:val="16"/>
          <w:szCs w:val="16"/>
          <w:lang w:val="en-US"/>
        </w:rPr>
        <w:t>Trivedi H, Daram S, Szabo A, Bartorelli AL, Marenzi G. High dose N-acetylcysteine for the prevenetion of contrast-induced nephropathy. Am J Med. 2009;122:874-9. Alonso A, Lau J, Jaber BL Weintraub A, Sarnak MJ. Prevention of radiocontrast nephropathy with N-acetylcysteine in patients with chronic kidney disease: a metaanalysis of randomized, controlled trials. Am J Kidney Dis. 2004;43:1-9.</w:t>
      </w:r>
    </w:p>
  </w:endnote>
  <w:endnote w:id="72">
    <w:p w:rsidR="00651852" w:rsidRPr="00244544" w:rsidRDefault="00651852" w:rsidP="00260D0A">
      <w:pPr>
        <w:pStyle w:val="Textonotaalfinal"/>
        <w:rPr>
          <w:lang w:val="en-US"/>
        </w:rPr>
      </w:pPr>
      <w:r w:rsidRPr="009A7C55">
        <w:rPr>
          <w:rStyle w:val="Refdenotaalfinal"/>
          <w:rFonts w:cs="Arial"/>
          <w:sz w:val="16"/>
          <w:szCs w:val="16"/>
        </w:rPr>
        <w:endnoteRef/>
      </w:r>
      <w:r w:rsidRPr="009A7C55">
        <w:rPr>
          <w:rFonts w:cs="Arial"/>
          <w:sz w:val="16"/>
          <w:szCs w:val="16"/>
          <w:lang w:val="en-US"/>
        </w:rPr>
        <w:t>Mueller C. Prevention of contrast-induced nephropathy with volume supplementation. Kidney Int. 2006;69:S16-S19.</w:t>
      </w:r>
    </w:p>
  </w:endnote>
  <w:endnote w:id="73">
    <w:p w:rsidR="00651852" w:rsidRPr="00244544" w:rsidRDefault="00651852" w:rsidP="00260D0A">
      <w:pPr>
        <w:pStyle w:val="Textonotaalfinal"/>
        <w:rPr>
          <w:lang w:val="en-US"/>
        </w:rPr>
      </w:pPr>
      <w:r w:rsidRPr="009A7C55">
        <w:rPr>
          <w:rStyle w:val="Refdenotaalfinal"/>
          <w:rFonts w:cs="Arial"/>
          <w:sz w:val="16"/>
          <w:szCs w:val="16"/>
        </w:rPr>
        <w:endnoteRef/>
      </w:r>
      <w:r w:rsidRPr="009A7C55">
        <w:rPr>
          <w:rFonts w:cs="Arial"/>
          <w:sz w:val="16"/>
          <w:szCs w:val="16"/>
          <w:lang w:val="en-US"/>
        </w:rPr>
        <w:t>Palmer BF. Renal Dysfunction complicating the treatment of hypertension. N Engl J Med. 2002;347;1256-61.</w:t>
      </w:r>
    </w:p>
  </w:endnote>
  <w:endnote w:id="74">
    <w:p w:rsidR="00651852" w:rsidRPr="00244544" w:rsidRDefault="00651852" w:rsidP="00260D0A">
      <w:pPr>
        <w:pStyle w:val="Textonotaalfinal"/>
        <w:rPr>
          <w:lang w:val="en-US"/>
        </w:rPr>
      </w:pPr>
      <w:r w:rsidRPr="009A7C55">
        <w:rPr>
          <w:rStyle w:val="Refdenotaalfinal"/>
          <w:rFonts w:cs="Arial"/>
          <w:sz w:val="16"/>
          <w:szCs w:val="16"/>
        </w:rPr>
        <w:endnoteRef/>
      </w:r>
      <w:r w:rsidRPr="009A7C55">
        <w:rPr>
          <w:rFonts w:cs="Arial"/>
          <w:sz w:val="16"/>
          <w:szCs w:val="16"/>
          <w:lang w:val="en-US"/>
        </w:rPr>
        <w:t>Goergen SK. Systematic review of current guidelines, and their evidence base, on risk of lactic acidosis after administration of contrast medium for patients receiving metformin. Radiology. 2010;254:261-9.</w:t>
      </w:r>
    </w:p>
  </w:endnote>
  <w:endnote w:id="75">
    <w:p w:rsidR="00651852" w:rsidRPr="00244544" w:rsidRDefault="00651852" w:rsidP="006211D6">
      <w:pPr>
        <w:pStyle w:val="Textonotaalfinal"/>
        <w:rPr>
          <w:lang w:val="en-US"/>
        </w:rPr>
      </w:pPr>
      <w:r w:rsidRPr="009A7C55">
        <w:rPr>
          <w:rStyle w:val="Refdenotaalfinal"/>
          <w:rFonts w:cs="Arial"/>
          <w:sz w:val="16"/>
          <w:szCs w:val="16"/>
        </w:rPr>
        <w:endnoteRef/>
      </w:r>
      <w:r w:rsidRPr="009A7C55">
        <w:rPr>
          <w:rFonts w:cs="Arial"/>
          <w:sz w:val="16"/>
          <w:szCs w:val="16"/>
          <w:lang w:val="en-US"/>
        </w:rPr>
        <w:t>Cheung AK, Sarnak MJ,Yan G, Dwyer JT, Heyka RJ, Rocco MV et al. Atherosclerotic cardiovascular disease risks in chronic haemodialysis patients. Kidney Int 2000;58:353-362.</w:t>
      </w:r>
    </w:p>
  </w:endnote>
  <w:endnote w:id="76">
    <w:p w:rsidR="00651852" w:rsidRPr="00244544" w:rsidRDefault="00651852" w:rsidP="006211D6">
      <w:pPr>
        <w:pStyle w:val="Textonotaalfinal"/>
        <w:rPr>
          <w:lang w:val="en-US"/>
        </w:rPr>
      </w:pPr>
      <w:r w:rsidRPr="009A7C55">
        <w:rPr>
          <w:rStyle w:val="Refdenotaalfinal"/>
          <w:rFonts w:cs="Arial"/>
          <w:sz w:val="16"/>
          <w:szCs w:val="16"/>
        </w:rPr>
        <w:endnoteRef/>
      </w:r>
      <w:r w:rsidRPr="009A7C55">
        <w:rPr>
          <w:rFonts w:cs="Arial"/>
          <w:sz w:val="16"/>
          <w:szCs w:val="16"/>
          <w:lang w:val="en-US"/>
        </w:rPr>
        <w:t>Esquitin R, Razzouk L, Peterson GE, Wright JT,Phillips RA, De backer TL et al. Left ventricular hypertrophy by electrocardiography and echocardiography in the African American Study of Kidney Disease Cohort Study. J Am Soc Hypertens. 2012 Feb 15.</w:t>
      </w:r>
    </w:p>
  </w:endnote>
  <w:endnote w:id="77">
    <w:p w:rsidR="00651852" w:rsidRPr="00244544" w:rsidRDefault="00651852" w:rsidP="006211D6">
      <w:pPr>
        <w:pStyle w:val="Textonotaalfinal"/>
        <w:rPr>
          <w:lang w:val="en-US"/>
        </w:rPr>
      </w:pPr>
      <w:r w:rsidRPr="009A7C55">
        <w:rPr>
          <w:rStyle w:val="Refdenotaalfinal"/>
          <w:rFonts w:cs="Arial"/>
          <w:sz w:val="16"/>
          <w:szCs w:val="16"/>
        </w:rPr>
        <w:endnoteRef/>
      </w:r>
      <w:r w:rsidRPr="009A7C55">
        <w:rPr>
          <w:rFonts w:cs="Arial"/>
          <w:sz w:val="16"/>
          <w:szCs w:val="16"/>
          <w:lang w:val="en-US"/>
        </w:rPr>
        <w:t>O’Hare AM. High prevalence of peripheral arterial disease in persons with renal insufficiency: results from the national health and nutrition examination survey. Circulation 2004;109:320-323.</w:t>
      </w:r>
    </w:p>
  </w:endnote>
  <w:endnote w:id="78">
    <w:p w:rsidR="00651852" w:rsidRPr="00244544" w:rsidRDefault="00651852" w:rsidP="006211D6">
      <w:pPr>
        <w:pStyle w:val="Textonotaalfinal"/>
        <w:rPr>
          <w:lang w:val="en-US"/>
        </w:rPr>
      </w:pPr>
      <w:r w:rsidRPr="009A7C55">
        <w:rPr>
          <w:rStyle w:val="Refdenotaalfinal"/>
          <w:rFonts w:cs="Arial"/>
          <w:sz w:val="16"/>
          <w:szCs w:val="16"/>
        </w:rPr>
        <w:endnoteRef/>
      </w:r>
      <w:r w:rsidRPr="009A7C55">
        <w:rPr>
          <w:rFonts w:cs="Arial"/>
          <w:sz w:val="16"/>
          <w:szCs w:val="16"/>
          <w:lang w:val="en-US"/>
        </w:rPr>
        <w:t>Coll B, Betriu A, Martinez-Alonso M, Borras M, Craver L, Amoedo ML et al. Cardiovascular risk factors underestimate atherosclerotic burden in chronic kidney disease: usefulness of non-invasive tests in cardiovascular assessment. Nephrol Dial Transplant2010;25(9):3017-25.</w:t>
      </w:r>
    </w:p>
  </w:endnote>
  <w:endnote w:id="79">
    <w:p w:rsidR="00651852" w:rsidRPr="00244544" w:rsidRDefault="00651852" w:rsidP="006211D6">
      <w:pPr>
        <w:pStyle w:val="Textonotaalfinal"/>
        <w:rPr>
          <w:lang w:val="en-US"/>
        </w:rPr>
      </w:pPr>
      <w:r w:rsidRPr="009A7C55">
        <w:rPr>
          <w:rStyle w:val="Refdenotaalfinal"/>
          <w:rFonts w:cs="Arial"/>
          <w:sz w:val="16"/>
          <w:szCs w:val="16"/>
        </w:rPr>
        <w:endnoteRef/>
      </w:r>
      <w:r w:rsidRPr="009A7C55">
        <w:rPr>
          <w:rFonts w:cs="Arial"/>
          <w:sz w:val="16"/>
          <w:szCs w:val="16"/>
          <w:lang w:val="en-US"/>
        </w:rPr>
        <w:t>K/DOQI Clinical Practice Guidelines for Cardiovascular Disease in Dialysis Patients. AJKD 2005;46(6):995-1178.</w:t>
      </w:r>
    </w:p>
  </w:endnote>
  <w:endnote w:id="80">
    <w:p w:rsidR="00651852" w:rsidRPr="00244544" w:rsidRDefault="00651852" w:rsidP="00511DDE">
      <w:pPr>
        <w:pStyle w:val="Textonotaalfinal"/>
        <w:rPr>
          <w:lang w:val="en-US"/>
        </w:rPr>
      </w:pPr>
      <w:r w:rsidRPr="009A7C55">
        <w:rPr>
          <w:rStyle w:val="Refdenotaalfinal"/>
          <w:rFonts w:cs="Arial"/>
          <w:sz w:val="16"/>
          <w:szCs w:val="16"/>
        </w:rPr>
        <w:endnoteRef/>
      </w:r>
      <w:r w:rsidRPr="009A7C55">
        <w:rPr>
          <w:rFonts w:cs="Arial"/>
          <w:sz w:val="16"/>
          <w:szCs w:val="16"/>
          <w:lang w:val="en-US"/>
        </w:rPr>
        <w:t>Heiwe S, Jacobson SH. Exercise training for adults with chronic kidney disease. Cochrane Database of Systematic Reviews 2011, Issue 10. Art. No.: CD003236. DOI: 10.1002/14651858.CD003236.pub2.</w:t>
      </w:r>
    </w:p>
  </w:endnote>
  <w:endnote w:id="81">
    <w:p w:rsidR="00651852" w:rsidRPr="00244544" w:rsidRDefault="00651852">
      <w:pPr>
        <w:pStyle w:val="Textonotaalfinal"/>
        <w:rPr>
          <w:lang w:val="en-US"/>
        </w:rPr>
      </w:pPr>
      <w:r w:rsidRPr="009A7C55">
        <w:rPr>
          <w:rStyle w:val="Refdenotaalfinal"/>
          <w:rFonts w:cs="Arial"/>
          <w:sz w:val="16"/>
          <w:szCs w:val="16"/>
        </w:rPr>
        <w:endnoteRef/>
      </w:r>
      <w:r w:rsidRPr="009A7C55">
        <w:rPr>
          <w:rFonts w:cs="Arial"/>
          <w:sz w:val="16"/>
          <w:szCs w:val="16"/>
          <w:lang w:val="en-US"/>
        </w:rPr>
        <w:t>http://www.clubdelhipertenso.es</w:t>
      </w:r>
    </w:p>
  </w:endnote>
  <w:endnote w:id="82">
    <w:p w:rsidR="00651852" w:rsidRPr="00244544" w:rsidRDefault="00651852" w:rsidP="00511DDE">
      <w:pPr>
        <w:pStyle w:val="Textonotaalfinal"/>
        <w:rPr>
          <w:lang w:val="en-US"/>
        </w:rPr>
      </w:pPr>
      <w:r w:rsidRPr="009A7C55">
        <w:rPr>
          <w:rStyle w:val="Refdenotaalfinal"/>
          <w:rFonts w:cs="Arial"/>
          <w:sz w:val="16"/>
          <w:szCs w:val="16"/>
        </w:rPr>
        <w:endnoteRef/>
      </w:r>
      <w:r>
        <w:rPr>
          <w:rFonts w:cs="Arial"/>
          <w:sz w:val="16"/>
          <w:szCs w:val="16"/>
          <w:lang w:val="en-US"/>
        </w:rPr>
        <w:t xml:space="preserve">Chobanian </w:t>
      </w:r>
      <w:r w:rsidRPr="00E013C2">
        <w:rPr>
          <w:rFonts w:cs="Arial"/>
          <w:sz w:val="16"/>
          <w:szCs w:val="16"/>
          <w:lang w:val="en-US"/>
        </w:rPr>
        <w:t>AV, Bakris GL, Black HR, Cushman WC, Green LA, Izzo JL Jr, et al. The seventh report of the Joint National Committee on Prevention, Detection, Evaluation, and Treatment of High Blood Pressure: the JNC 7 Report. JAMA 2003; 289: 2560-72.</w:t>
      </w:r>
    </w:p>
  </w:endnote>
  <w:endnote w:id="83">
    <w:p w:rsidR="00651852" w:rsidRPr="00244544" w:rsidRDefault="00651852" w:rsidP="00511DDE">
      <w:pPr>
        <w:pStyle w:val="Textonotaalfinal"/>
        <w:rPr>
          <w:lang w:val="en-US"/>
        </w:rPr>
      </w:pPr>
      <w:r w:rsidRPr="009A7C55">
        <w:rPr>
          <w:rStyle w:val="Refdenotaalfinal"/>
          <w:rFonts w:cs="Arial"/>
          <w:sz w:val="16"/>
          <w:szCs w:val="16"/>
        </w:rPr>
        <w:endnoteRef/>
      </w:r>
      <w:r>
        <w:rPr>
          <w:rFonts w:cs="Arial"/>
          <w:sz w:val="16"/>
          <w:szCs w:val="16"/>
          <w:lang w:val="en-US"/>
        </w:rPr>
        <w:t>Mancia G</w:t>
      </w:r>
      <w:r w:rsidRPr="009A7C55">
        <w:rPr>
          <w:rFonts w:cs="Arial"/>
          <w:sz w:val="16"/>
          <w:szCs w:val="16"/>
          <w:lang w:val="en-US"/>
        </w:rPr>
        <w:t xml:space="preserve"> </w:t>
      </w:r>
      <w:r w:rsidRPr="00E013C2">
        <w:rPr>
          <w:rFonts w:cs="Arial"/>
          <w:sz w:val="16"/>
          <w:szCs w:val="16"/>
          <w:lang w:val="en-US"/>
        </w:rPr>
        <w:t>De Backer G, Dominiczak A, Cifkova R, Fagard R, Germano G, et al; Management of Arterial Hypertension of the European Society of Hypertension; European Society of Cardiology. 2007 guidelines for the management of arterial hypertension: The Task Force for the Management of Arterial Hypertension of the European Society of Hypertension (ESH) and of the European Society of Cardiology (ESC). J Hypertens 2007; 25: 1105-87.</w:t>
      </w:r>
    </w:p>
  </w:endnote>
  <w:endnote w:id="84">
    <w:p w:rsidR="00651852" w:rsidRPr="00244544" w:rsidRDefault="00651852" w:rsidP="00511DDE">
      <w:pPr>
        <w:pStyle w:val="Textonotaalfinal"/>
        <w:rPr>
          <w:lang w:val="en-US"/>
        </w:rPr>
      </w:pPr>
      <w:r w:rsidRPr="009A7C55">
        <w:rPr>
          <w:rStyle w:val="Refdenotaalfinal"/>
          <w:rFonts w:cs="Arial"/>
          <w:sz w:val="16"/>
          <w:szCs w:val="16"/>
        </w:rPr>
        <w:endnoteRef/>
      </w:r>
      <w:r w:rsidRPr="009A7C55">
        <w:rPr>
          <w:rFonts w:cs="Arial"/>
          <w:sz w:val="16"/>
          <w:szCs w:val="16"/>
          <w:lang w:val="en-US"/>
        </w:rPr>
        <w:t xml:space="preserve">Lazarus JM, Bourgoigne JJ, Buckalew VM, et al. Achievement and safety of a low blood pressure goal in chronic renal disease. </w:t>
      </w:r>
      <w:r w:rsidRPr="009A7C55">
        <w:rPr>
          <w:rFonts w:cs="Arial"/>
          <w:sz w:val="16"/>
          <w:szCs w:val="16"/>
          <w:lang w:val="it-IT"/>
        </w:rPr>
        <w:t>Hypertension. 1997;29:641-650.</w:t>
      </w:r>
    </w:p>
  </w:endnote>
  <w:endnote w:id="85">
    <w:p w:rsidR="00651852" w:rsidRPr="00244544" w:rsidRDefault="00651852" w:rsidP="00511DDE">
      <w:pPr>
        <w:pStyle w:val="Textonotaalfinal"/>
        <w:rPr>
          <w:lang w:val="en-US"/>
        </w:rPr>
      </w:pPr>
      <w:r w:rsidRPr="009A7C55">
        <w:rPr>
          <w:rStyle w:val="Refdenotaalfinal"/>
          <w:rFonts w:cs="Arial"/>
          <w:sz w:val="16"/>
          <w:szCs w:val="16"/>
        </w:rPr>
        <w:endnoteRef/>
      </w:r>
      <w:r w:rsidRPr="009A7C55">
        <w:rPr>
          <w:rFonts w:cs="Arial"/>
          <w:sz w:val="16"/>
          <w:szCs w:val="16"/>
          <w:lang w:val="it-IT"/>
        </w:rPr>
        <w:t xml:space="preserve">Mancia G, Laurent S, Agabiti-Rosei E, Ambrosioni E, Burnier M, Caulfield MJ et al. </w:t>
      </w:r>
      <w:r w:rsidRPr="009A7C55">
        <w:rPr>
          <w:rFonts w:cs="Arial"/>
          <w:sz w:val="16"/>
          <w:szCs w:val="16"/>
          <w:lang w:val="en-US"/>
        </w:rPr>
        <w:t>Reappraisal of European guidelines on hypertension management: a European Society of Hypertension Task Force document. J Hypertens. 2009; 27:2121–2158.</w:t>
      </w:r>
    </w:p>
  </w:endnote>
  <w:endnote w:id="86">
    <w:p w:rsidR="00651852" w:rsidRPr="00244544" w:rsidRDefault="00651852" w:rsidP="00511DDE">
      <w:pPr>
        <w:pStyle w:val="Textonotaalfinal"/>
        <w:rPr>
          <w:lang w:val="en-US"/>
        </w:rPr>
      </w:pPr>
      <w:r w:rsidRPr="009A7C55">
        <w:rPr>
          <w:rStyle w:val="Refdenotaalfinal"/>
          <w:rFonts w:cs="Arial"/>
          <w:sz w:val="16"/>
          <w:szCs w:val="16"/>
        </w:rPr>
        <w:endnoteRef/>
      </w:r>
      <w:r w:rsidRPr="009A7C55">
        <w:rPr>
          <w:rFonts w:cs="Arial"/>
          <w:sz w:val="16"/>
          <w:szCs w:val="16"/>
          <w:lang w:val="en-US"/>
        </w:rPr>
        <w:t>Appel LJ, Wright JT, Jr., Greene T, Agodoa LY, Astor BC, Bakris GL, et al. Intensive blood-pressure control in hypertensive chronic kidney disease. N Engl J Med 2010 Sep 2;363(10):918-29.</w:t>
      </w:r>
    </w:p>
  </w:endnote>
  <w:endnote w:id="87">
    <w:p w:rsidR="00651852" w:rsidRPr="00D94370" w:rsidRDefault="00651852" w:rsidP="00511DDE">
      <w:pPr>
        <w:pStyle w:val="Textonotaalfinal"/>
        <w:rPr>
          <w:lang w:val="en-US"/>
        </w:rPr>
      </w:pPr>
      <w:r w:rsidRPr="00D94370">
        <w:rPr>
          <w:rStyle w:val="Refdenotaalfinal"/>
          <w:rFonts w:cs="Arial"/>
          <w:sz w:val="16"/>
          <w:szCs w:val="16"/>
        </w:rPr>
        <w:endnoteRef/>
      </w:r>
      <w:r w:rsidRPr="00D94370">
        <w:rPr>
          <w:rFonts w:cs="Arial"/>
          <w:sz w:val="16"/>
          <w:szCs w:val="16"/>
          <w:lang w:val="en-US"/>
        </w:rPr>
        <w:t>Cushman WC, Evans GW, Byington RP, Goff DC, Jr., Grimm RH, Jr., Cutler JA, et al. Effects of intensive blood-pressure control in type 2 diabetes mellitus. N Engl J Med 2010 Apr 29;362(17):1575-85.</w:t>
      </w:r>
    </w:p>
  </w:endnote>
  <w:endnote w:id="88">
    <w:p w:rsidR="00651852" w:rsidRPr="00244544" w:rsidRDefault="00651852" w:rsidP="00511DDE">
      <w:pPr>
        <w:pStyle w:val="Textonotaalfinal"/>
        <w:rPr>
          <w:lang w:val="en-US"/>
        </w:rPr>
      </w:pPr>
      <w:r w:rsidRPr="00D94370">
        <w:rPr>
          <w:rStyle w:val="Refdenotaalfinal"/>
          <w:rFonts w:cs="Arial"/>
          <w:sz w:val="16"/>
          <w:szCs w:val="16"/>
        </w:rPr>
        <w:endnoteRef/>
      </w:r>
      <w:r w:rsidRPr="00D94370">
        <w:rPr>
          <w:rFonts w:cs="Arial"/>
          <w:sz w:val="16"/>
          <w:szCs w:val="16"/>
          <w:lang w:val="en-US"/>
        </w:rPr>
        <w:t>de Galan BE, Perkovic V, Ninomiya T, Pillai A, Patel A, Cass A, et al. Lowering blood pressure reduces renal events in type 2 diabetes. J Am Soc Nephrol 2009 Apr;20(4):883-92.</w:t>
      </w:r>
    </w:p>
  </w:endnote>
  <w:endnote w:id="89">
    <w:p w:rsidR="00651852" w:rsidRPr="00244544" w:rsidRDefault="00651852" w:rsidP="00511DDE">
      <w:pPr>
        <w:pStyle w:val="Textonotaalfinal"/>
        <w:rPr>
          <w:lang w:val="en-US"/>
        </w:rPr>
      </w:pPr>
      <w:r w:rsidRPr="009A7C55">
        <w:rPr>
          <w:rStyle w:val="Refdenotaalfinal"/>
          <w:rFonts w:cs="Arial"/>
          <w:sz w:val="16"/>
          <w:szCs w:val="16"/>
        </w:rPr>
        <w:endnoteRef/>
      </w:r>
      <w:r w:rsidRPr="009A7C55">
        <w:rPr>
          <w:rFonts w:cs="Arial"/>
          <w:sz w:val="16"/>
          <w:szCs w:val="16"/>
          <w:lang w:val="en-US"/>
        </w:rPr>
        <w:t>K/DOQI clinical practice guidelines on hypertension and antihypertensive agents in chronic kidney disease. Am J Kidney Dis 2004; 43:S1-290.</w:t>
      </w:r>
    </w:p>
  </w:endnote>
  <w:endnote w:id="90">
    <w:p w:rsidR="00651852" w:rsidRPr="00244544" w:rsidRDefault="00651852" w:rsidP="00F67A72">
      <w:pPr>
        <w:pStyle w:val="Textonotaalfinal"/>
        <w:rPr>
          <w:lang w:val="en-US"/>
        </w:rPr>
      </w:pPr>
      <w:r w:rsidRPr="009A7C55">
        <w:rPr>
          <w:rStyle w:val="Refdenotaalfinal"/>
          <w:rFonts w:cs="Arial"/>
          <w:sz w:val="16"/>
          <w:szCs w:val="16"/>
        </w:rPr>
        <w:endnoteRef/>
      </w:r>
      <w:r w:rsidRPr="009A7C55">
        <w:rPr>
          <w:rFonts w:cs="Arial"/>
          <w:sz w:val="16"/>
          <w:szCs w:val="16"/>
          <w:lang w:val="en-US"/>
        </w:rPr>
        <w:t>Weir MR. Effects of renin-angiotensin system inhibition on end-organ protection: can we do better? Clin Ther 2007;29:1803-1824.</w:t>
      </w:r>
    </w:p>
  </w:endnote>
  <w:endnote w:id="91">
    <w:p w:rsidR="00651852" w:rsidRPr="009B3042" w:rsidRDefault="00651852" w:rsidP="00A53507">
      <w:pPr>
        <w:pStyle w:val="Textonotaalfinal"/>
      </w:pPr>
      <w:r w:rsidRPr="009A7C55">
        <w:rPr>
          <w:rStyle w:val="Refdenotaalfinal"/>
          <w:rFonts w:cs="Arial"/>
          <w:sz w:val="16"/>
          <w:szCs w:val="16"/>
        </w:rPr>
        <w:endnoteRef/>
      </w:r>
      <w:r w:rsidRPr="009A7C55">
        <w:rPr>
          <w:rFonts w:cs="Arial"/>
          <w:sz w:val="16"/>
          <w:szCs w:val="16"/>
          <w:lang w:val="en-US"/>
        </w:rPr>
        <w:t xml:space="preserve">Schmieder RE, Ruilope LM, Barnett AH. Renal protection with angiotensin receptor blockers: where do we stand. </w:t>
      </w:r>
      <w:r w:rsidRPr="009B3042">
        <w:rPr>
          <w:rFonts w:cs="Arial"/>
          <w:sz w:val="16"/>
          <w:szCs w:val="16"/>
        </w:rPr>
        <w:t>J Nephrol. 2011 Sep-Oct;24(5):569-580.</w:t>
      </w:r>
    </w:p>
  </w:endnote>
  <w:endnote w:id="92">
    <w:p w:rsidR="00651852" w:rsidRPr="00244544" w:rsidRDefault="00651852" w:rsidP="00B1318D">
      <w:pPr>
        <w:pStyle w:val="Textonotaalfinal"/>
        <w:rPr>
          <w:lang w:val="en-US"/>
        </w:rPr>
      </w:pPr>
      <w:r w:rsidRPr="009A7C55">
        <w:rPr>
          <w:rStyle w:val="Refdenotaalfinal"/>
          <w:rFonts w:cs="Arial"/>
          <w:sz w:val="16"/>
          <w:szCs w:val="16"/>
        </w:rPr>
        <w:endnoteRef/>
      </w:r>
      <w:r w:rsidRPr="009A7C55">
        <w:rPr>
          <w:rFonts w:cs="Arial"/>
          <w:sz w:val="16"/>
          <w:szCs w:val="16"/>
        </w:rPr>
        <w:t xml:space="preserve">de la Sierra A, Gorostidi M, Marín R, Redón J, Banegas JR, Armario P, et al. Evaluación y tratamiento de la hipertensión arterial en España. Documento de consenso. </w:t>
      </w:r>
      <w:r w:rsidRPr="00244544">
        <w:rPr>
          <w:rFonts w:cs="Arial"/>
          <w:sz w:val="16"/>
          <w:szCs w:val="16"/>
          <w:lang w:val="en-US"/>
        </w:rPr>
        <w:t>Med Clin (Barc) 2008; 131: 104-16.</w:t>
      </w:r>
    </w:p>
  </w:endnote>
  <w:endnote w:id="93">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GB"/>
        </w:rPr>
        <w:t>Ansari, A, Thomas, S, Goldsmith, D. Assessing glycemic control in patients with diabetes and end-stage renal failure. Am J Kidney Dis 2003; 41:523.</w:t>
      </w:r>
    </w:p>
  </w:endnote>
  <w:endnote w:id="94">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GB"/>
        </w:rPr>
        <w:t>de Boer, MJ, Miedema, K, Casparie, AF. Glycosylated haemoglobin in renal failure. Diabetologia 1980; 18:437.</w:t>
      </w:r>
    </w:p>
  </w:endnote>
  <w:endnote w:id="95">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GB"/>
        </w:rPr>
        <w:t>Scott, MG, Hoffman, JW, Meltzer, VN, et al. Effects of azotemia on results of the boronate-agarose affinity method and in exchange methods for glycated hemoglobin. Clin Chem 1984; 30:896.</w:t>
      </w:r>
    </w:p>
  </w:endnote>
  <w:endnote w:id="96">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GB"/>
        </w:rPr>
        <w:t xml:space="preserve">Wettre, S, Lundberg, M. Kinetics of glycosylated hemoglobin in uremia determined on ion-exchange and affinity chromatography. </w:t>
      </w:r>
      <w:r w:rsidRPr="009A7C55">
        <w:rPr>
          <w:rFonts w:cs="Arial"/>
          <w:sz w:val="16"/>
          <w:szCs w:val="16"/>
          <w:lang w:val="pt-BR"/>
        </w:rPr>
        <w:t>Diabetes Res 1986; 3:107.</w:t>
      </w:r>
    </w:p>
  </w:endnote>
  <w:endnote w:id="97">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pt-BR"/>
        </w:rPr>
        <w:t>Paisey, R, Banks, R, Holton, R, et al. Glycosylated haemoglobin in uraemia. Diabet Med 1986; 3:445.</w:t>
      </w:r>
    </w:p>
  </w:endnote>
  <w:endnote w:id="98">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pt-BR"/>
        </w:rPr>
        <w:t xml:space="preserve">Joy, MS, Cefalu, WT, Hogan, SL, Nachman, PH. </w:t>
      </w:r>
      <w:r w:rsidRPr="009A7C55">
        <w:rPr>
          <w:rFonts w:cs="Arial"/>
          <w:sz w:val="16"/>
          <w:szCs w:val="16"/>
          <w:lang w:val="en-GB"/>
        </w:rPr>
        <w:t>Long-term glycemic control measurements in diabetic patients receiving hemodialysis. Am J Kidney Dis 2002; 39:297</w:t>
      </w:r>
    </w:p>
  </w:endnote>
  <w:endnote w:id="99">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US"/>
        </w:rPr>
        <w:t>K/DOQI clinical practice guidelines for cardiovascular disease in dialysis patients. Am J Kidney Dis 2005; 4(Suppl 3):S1.</w:t>
      </w:r>
    </w:p>
  </w:endnote>
  <w:endnote w:id="100">
    <w:p w:rsidR="00651852" w:rsidRPr="00244544" w:rsidRDefault="00651852" w:rsidP="00556EC0">
      <w:pPr>
        <w:pStyle w:val="Textonotaalfinal"/>
        <w:rPr>
          <w:lang w:val="en-US"/>
        </w:rPr>
      </w:pPr>
      <w:r w:rsidRPr="009A7C55">
        <w:rPr>
          <w:rStyle w:val="Refdenotaalfinal"/>
          <w:rFonts w:cs="Arial"/>
          <w:sz w:val="16"/>
          <w:szCs w:val="16"/>
        </w:rPr>
        <w:endnoteRef/>
      </w:r>
      <w:r w:rsidRPr="009910AD">
        <w:rPr>
          <w:rFonts w:cs="Arial"/>
          <w:sz w:val="16"/>
          <w:szCs w:val="16"/>
        </w:rPr>
        <w:t xml:space="preserve">Tzamaloukas, AH, Murata, GH, Zager, PG, et al. </w:t>
      </w:r>
      <w:r w:rsidRPr="009A7C55">
        <w:rPr>
          <w:rFonts w:cs="Arial"/>
          <w:sz w:val="16"/>
          <w:szCs w:val="16"/>
          <w:lang w:val="en-US"/>
        </w:rPr>
        <w:t xml:space="preserve">The relationship between glycemic control and morbidity and mortality for diabetics on dialysis. </w:t>
      </w:r>
      <w:r w:rsidRPr="009A7C55">
        <w:rPr>
          <w:rFonts w:cs="Arial"/>
          <w:sz w:val="16"/>
          <w:szCs w:val="16"/>
          <w:lang w:val="en-GB"/>
        </w:rPr>
        <w:t>ASAIO J 1993; 39:880.</w:t>
      </w:r>
    </w:p>
  </w:endnote>
  <w:endnote w:id="101">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US"/>
        </w:rPr>
        <w:t xml:space="preserve">McMurray, SD, Johnson, G, Davis, S, McDougall, K. Diabetes education and care management significantly improve patient outcomes in the dialysis unit. </w:t>
      </w:r>
      <w:r w:rsidRPr="009A7C55">
        <w:rPr>
          <w:rFonts w:cs="Arial"/>
          <w:sz w:val="16"/>
          <w:szCs w:val="16"/>
          <w:lang w:val="fr-FR"/>
        </w:rPr>
        <w:t>Am J Kidney Dis 2002; 40:566.</w:t>
      </w:r>
    </w:p>
  </w:endnote>
  <w:endnote w:id="102">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fr-FR"/>
        </w:rPr>
        <w:t xml:space="preserve">Oomichi, T, Emoto, M, Tabata, T, et al. </w:t>
      </w:r>
      <w:r w:rsidRPr="009A7C55">
        <w:rPr>
          <w:rFonts w:cs="Arial"/>
          <w:sz w:val="16"/>
          <w:szCs w:val="16"/>
          <w:lang w:val="en-US"/>
        </w:rPr>
        <w:t>Impact of glycemic control on survival of diabetic patients on chronic regular hemodialysis: a 7-year observational study. Diabetes Care 2006; 29:1496.</w:t>
      </w:r>
    </w:p>
  </w:endnote>
  <w:endnote w:id="103">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US"/>
        </w:rPr>
        <w:t>Tascona, DJ, Morton, AR, Toffelmire, EB, et al. Adequacy of glycemic control in hemodialysis patients with diabetes. Diabetes Care 2006; 29:2247.</w:t>
      </w:r>
    </w:p>
  </w:endnote>
  <w:endnote w:id="104">
    <w:p w:rsidR="00651852" w:rsidRPr="00244544" w:rsidRDefault="00651852" w:rsidP="00556EC0">
      <w:pPr>
        <w:pStyle w:val="Textonotaalfinal"/>
        <w:rPr>
          <w:lang w:val="en-US"/>
        </w:rPr>
      </w:pPr>
      <w:r w:rsidRPr="009A7C55">
        <w:rPr>
          <w:rStyle w:val="Refdenotaalfinal"/>
          <w:rFonts w:cs="Arial"/>
          <w:sz w:val="16"/>
          <w:szCs w:val="16"/>
        </w:rPr>
        <w:endnoteRef/>
      </w:r>
      <w:r w:rsidRPr="009A7C55">
        <w:rPr>
          <w:rFonts w:cs="Arial"/>
          <w:sz w:val="16"/>
          <w:szCs w:val="16"/>
          <w:lang w:val="en-US"/>
        </w:rPr>
        <w:t>Williams, ME, Lacson, E Jr, Teng, M, et al. Hemodialyzed type I and type II diabetic patients in the US: Characteristics, glycemic control, and survival. Kidney Int 2006; 70:1503.</w:t>
      </w:r>
    </w:p>
  </w:endnote>
  <w:endnote w:id="105">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Snyder, RW, Berns, JS. Use of insulin and oral hypoglycemic medications in patients with diabetes mellitus and advanced kidney disease. Semin Dial 2004; 17:365.</w:t>
      </w:r>
    </w:p>
  </w:endnote>
  <w:endnote w:id="106">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Skillman, TG, Feldman, JM. The pharmacology of sulfonylureas. Am J Med 1981; 70:361.</w:t>
      </w:r>
    </w:p>
  </w:endnote>
  <w:endnote w:id="107">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Lipska KJ, Bailey CJ, Inzucchi SE. Use of metformin in the setting of mild-to-moderate renal insufficiency. Diabetes Care 2011; 34: 1431-1437.</w:t>
      </w:r>
    </w:p>
  </w:endnote>
  <w:endnote w:id="108">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 xml:space="preserve">European </w:t>
      </w:r>
      <w:r w:rsidRPr="001B4455">
        <w:rPr>
          <w:rFonts w:cs="Arial"/>
          <w:sz w:val="16"/>
          <w:szCs w:val="16"/>
          <w:lang w:val="en-US"/>
        </w:rPr>
        <w:t>Association for Cardiovascular Prevention &amp; Rehabilitation, Reiner Z, Catapano AL, De Backer G, Graham I, Taskinen MR, Wiklund O, et al. ESC/EAS Guidelines for the management of dyslipidaemias: the Task Force for the management of dyslipidaemias of the European Society of Cardiology (ESC) and the European Atherosclerosis Society (EAS). Eur Heart J 2011; 32: 1769–818.</w:t>
      </w:r>
    </w:p>
  </w:endnote>
  <w:endnote w:id="109">
    <w:p w:rsidR="00651852" w:rsidRPr="00244544" w:rsidRDefault="00651852">
      <w:pPr>
        <w:pStyle w:val="Textonotaalfinal"/>
        <w:rPr>
          <w:lang w:val="en-US"/>
        </w:rPr>
      </w:pPr>
      <w:r w:rsidRPr="009A7C55">
        <w:rPr>
          <w:rStyle w:val="Refdenotaalfinal"/>
          <w:rFonts w:cs="Arial"/>
          <w:sz w:val="16"/>
          <w:szCs w:val="16"/>
        </w:rPr>
        <w:endnoteRef/>
      </w:r>
      <w:r w:rsidRPr="001B4455">
        <w:rPr>
          <w:rFonts w:cs="Arial"/>
          <w:sz w:val="16"/>
          <w:szCs w:val="16"/>
          <w:lang w:val="en-US"/>
        </w:rPr>
        <w:t>Tonelli M, Isles C, Curhan GC, Tonkin A, Pfeffer MA, Shepherd J, et al. Effect of pravastatin on cardiovascular events in people with chronic kidney disease. Circulation 2004; 110: 1557-63.</w:t>
      </w:r>
    </w:p>
  </w:endnote>
  <w:endnote w:id="110">
    <w:p w:rsidR="00651852" w:rsidRPr="00244544" w:rsidRDefault="00651852">
      <w:pPr>
        <w:pStyle w:val="Textonotaalfinal"/>
        <w:rPr>
          <w:lang w:val="en-US"/>
        </w:rPr>
      </w:pPr>
      <w:r w:rsidRPr="009A7C55">
        <w:rPr>
          <w:rStyle w:val="Refdenotaalfinal"/>
          <w:rFonts w:cs="Arial"/>
          <w:sz w:val="16"/>
          <w:szCs w:val="16"/>
        </w:rPr>
        <w:endnoteRef/>
      </w:r>
      <w:r w:rsidRPr="001B4455">
        <w:rPr>
          <w:rFonts w:cs="Arial"/>
          <w:sz w:val="16"/>
          <w:szCs w:val="16"/>
          <w:lang w:val="en-US"/>
        </w:rPr>
        <w:t>Collins R, Armitage J, Parish S, Sleight P, Peto R; Heart Protection Study Collaborative Group. Effects of cholesterol-lowering with simvastatin on stroke and other major vascular events in 20536 people with cerebrovascular disease or other high-risk conditions. Lancet 2004; 363: 757-67.</w:t>
      </w:r>
    </w:p>
  </w:endnote>
  <w:endnote w:id="111">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Wanner C, Krane V, Ma¨rz W, Olschewski M, Mann JF, Ruf G, Ritz E; German Diabetes and Dialysis Study Investigators. Atorvastatin in patients with type 2 diabetes mellitus undergoing hemodialysis. N Engl J Med 2005;353:238–248.</w:t>
      </w:r>
    </w:p>
  </w:endnote>
  <w:endnote w:id="112">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Fellstro¨m BC, Jardine AG, Schmieder RE, Holdaas H, Bannister K, Beutler J, Chae DW, Chevaile A, Cobbe SM, Gro¨nhagen-Riska C, De Lima JJ, Lins R, Mayer G, McMahon AW, Parving HH, Remuzzi G, Samuelsson O, Sonkodi S, Sci D, Su¨leymanlar G, Tsakiris D, Tesar V, Todorov V, Wiecek A, Wu¨thrich RP, Gottlow M, Johnsson E, Zannad F; AURORA Study Group. Rosuvastatin and cardiovascular events in patients undergoing hemodialysis. N Engl J Med 2009;360:1395–1407.</w:t>
      </w:r>
    </w:p>
  </w:endnote>
  <w:endnote w:id="113">
    <w:p w:rsidR="00651852" w:rsidRPr="00244544" w:rsidRDefault="00651852" w:rsidP="003C3D97">
      <w:pPr>
        <w:pStyle w:val="Textonotaalfinal"/>
        <w:rPr>
          <w:lang w:val="en-US"/>
        </w:rPr>
      </w:pPr>
      <w:r w:rsidRPr="009A7C55">
        <w:rPr>
          <w:rStyle w:val="Refdenotaalfinal"/>
          <w:rFonts w:cs="Arial"/>
          <w:sz w:val="16"/>
          <w:szCs w:val="16"/>
        </w:rPr>
        <w:endnoteRef/>
      </w:r>
      <w:r w:rsidRPr="009A7C55">
        <w:rPr>
          <w:rFonts w:cs="Arial"/>
          <w:sz w:val="16"/>
          <w:szCs w:val="16"/>
          <w:lang w:val="en-US"/>
        </w:rPr>
        <w:t>SHARP Collaborative Group. Study of Heart and Renal Protection (SHARP):randomized trial to assess the effects of lowering low-density lipoprotein cholesterol among 9,438 patients with chronic kidney disease. Am Heart J 2010; 160;785–794.</w:t>
      </w:r>
    </w:p>
  </w:endnote>
  <w:endnote w:id="114">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Navaneethan SD, Perkovic V, Johnson DW, Nigwekar SU, Craig JC,Strippoli GFM. HMG CoA reductase inhibitors (statins) for kidney transplant recipients. Cochrane Database Syst Rev 2009;2:CD005019.</w:t>
      </w:r>
    </w:p>
  </w:endnote>
  <w:endnote w:id="115">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Klag MJ, Whelton PK, Randall BL, Neaton JD, Brancati FL, Ford CE, Shulman NB, Stamler J: Blood pressure and end-stage renal disease in men. N Engl J Med</w:t>
      </w:r>
      <w:r>
        <w:rPr>
          <w:rFonts w:cs="Arial"/>
          <w:sz w:val="16"/>
          <w:szCs w:val="16"/>
          <w:lang w:val="en-US"/>
        </w:rPr>
        <w:t xml:space="preserve"> </w:t>
      </w:r>
      <w:r w:rsidRPr="009A7C55">
        <w:rPr>
          <w:rFonts w:cs="Arial"/>
          <w:sz w:val="16"/>
          <w:szCs w:val="16"/>
          <w:lang w:val="en-US"/>
        </w:rPr>
        <w:t>334 :13– 18,1996.</w:t>
      </w:r>
    </w:p>
  </w:endnote>
  <w:endnote w:id="116">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Pinto-Sietsma SJ, Mulder J, Janssen WM, Hillege HL, de Zeeuw D, de Jong PE: Smoking is related to albuminuria and abnormal renal function in nondiabetic persons. Ann Intern Med</w:t>
      </w:r>
      <w:r>
        <w:rPr>
          <w:rFonts w:cs="Arial"/>
          <w:sz w:val="16"/>
          <w:szCs w:val="16"/>
          <w:lang w:val="en-US"/>
        </w:rPr>
        <w:t xml:space="preserve"> </w:t>
      </w:r>
      <w:r w:rsidRPr="009A7C55">
        <w:rPr>
          <w:rFonts w:cs="Arial"/>
          <w:sz w:val="16"/>
          <w:szCs w:val="16"/>
          <w:lang w:val="en-US"/>
        </w:rPr>
        <w:t>133 :585– 591,2000.</w:t>
      </w:r>
    </w:p>
  </w:endnote>
  <w:endnote w:id="117">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Halimi JM, Giraudeau B, Vol S, Cacès E, Nivet H, Lebranchu Y, Tichet J: Effects of current smoking and smoking discontinuation on renal function and proteinuria in the general population. Kidney Int58 :1285– 1292,2000.</w:t>
      </w:r>
    </w:p>
  </w:endnote>
  <w:endnote w:id="118">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Briganti EM, Branley P, Chadban SJ, Shaw JE, McNeil JJ, Welborn TA, Atkins RC: Smoking is associated with renal impairment and proteinuria in the normal population: The Aus</w:t>
      </w:r>
      <w:r>
        <w:rPr>
          <w:rFonts w:cs="Arial"/>
          <w:sz w:val="16"/>
          <w:szCs w:val="16"/>
          <w:lang w:val="en-US"/>
        </w:rPr>
        <w:t xml:space="preserve"> </w:t>
      </w:r>
      <w:r w:rsidRPr="009A7C55">
        <w:rPr>
          <w:rFonts w:cs="Arial"/>
          <w:sz w:val="16"/>
          <w:szCs w:val="16"/>
          <w:lang w:val="en-US"/>
        </w:rPr>
        <w:t>Diab kidney study. Australian Diabetes, Obesity and Lifestyle Study. Am J Kidney Dis40 :704– 712,2002.</w:t>
      </w:r>
    </w:p>
  </w:endnote>
  <w:endnote w:id="119">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Verhave JC, Hillege HL, Burgerhof JG, Gansevoort RT, de Zeeuw D, de Jong PE, PREVEND Study Group: The association between atherosclerotic risk factors and renal function in the general population. Kidney Int67 :1967– 1973,2005.</w:t>
      </w:r>
    </w:p>
  </w:endnote>
  <w:endnote w:id="120">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de Boer IH, Sibley SD, Kestenbaum B, Sampson JN, Young B, Cleary PA, Steffes MW, Weiss NS, Brunzell JD, Diabetes Control and Complications Trial/Epidemiology of Diabetes Interventions and Complications Study Research Group: Central obesity, incident microalbuminuria, and change in creatinine clearance in the epidemiology of diabetes interventions and complications study. J Am Soc Nephrol18 :235– 243,2007.</w:t>
      </w:r>
    </w:p>
  </w:endnote>
  <w:endnote w:id="121">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Rossing K, Christensen PK, Hovind P, Tarnow L, Rossing P, Parving HH: Progression of nephropathy in type 2 diabetic patients. Kidney Int66 :1596– 1605,2004.</w:t>
      </w:r>
    </w:p>
  </w:endnote>
  <w:endnote w:id="122">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Scott LJ, Warram JH, Hanna LS, Laffel LM, Ryan L, Krolewski AS: A nonlinear effect of hyperglycemia and current cigarette smoking are major determinants of the onset of microalbuminuria in type 1 diabetes.Diabetes50 :2842– 2849,2001.</w:t>
      </w:r>
    </w:p>
  </w:endnote>
  <w:endnote w:id="123">
    <w:p w:rsidR="00651852" w:rsidRPr="00244544" w:rsidRDefault="00651852" w:rsidP="00D340CD">
      <w:pPr>
        <w:pStyle w:val="Textonotaalfinal"/>
        <w:rPr>
          <w:lang w:val="en-US"/>
        </w:rPr>
      </w:pPr>
      <w:r w:rsidRPr="009A7C55">
        <w:rPr>
          <w:rStyle w:val="Refdenotaalfinal"/>
          <w:rFonts w:cs="Arial"/>
          <w:sz w:val="16"/>
          <w:szCs w:val="16"/>
        </w:rPr>
        <w:endnoteRef/>
      </w:r>
      <w:r w:rsidRPr="001960E3">
        <w:rPr>
          <w:rFonts w:cs="Arial"/>
          <w:sz w:val="16"/>
          <w:szCs w:val="16"/>
        </w:rPr>
        <w:t xml:space="preserve">Odoni G, Ogata H, Viedt C, Amann K, Ritz E, Orth SR. </w:t>
      </w:r>
      <w:r w:rsidRPr="001960E3">
        <w:rPr>
          <w:rFonts w:cs="Arial"/>
          <w:sz w:val="16"/>
          <w:szCs w:val="16"/>
          <w:lang w:val="en-US"/>
        </w:rPr>
        <w:t>Cigarette smoke condensate aggravates renal injury in the renal ablation model. Kidney Int 2002; 61: 2090–8.</w:t>
      </w:r>
    </w:p>
  </w:endnote>
  <w:endnote w:id="124">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Galazyn-Sidorczuk M, Brzoska MM, Moniuszko-Jakoniuk J: Estimation of Polish cigarettes contamination with cadmium and lead, and exposure to these metals via smoking. Environ Monit Assess May 17,2007 [epub ahead of print].</w:t>
      </w:r>
    </w:p>
  </w:endnote>
  <w:endnote w:id="125">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Omvik P: How smoking affects blood pressure. Blood Press5 :71– 77,1996.</w:t>
      </w:r>
    </w:p>
  </w:endnote>
  <w:endnote w:id="126">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Hansen KW, Pedersen MM, Christiansen JS, Mogensen CE: Night blood pressure and cigarette smoking: Disparate association in healthy subjects and diabetic patients. Blood Press3 :381– 388,1994.</w:t>
      </w:r>
    </w:p>
  </w:endnote>
  <w:endnote w:id="127">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Davidson MB, Hix JK, Vidt DG, Brotman DJ: Association of impaired diurnal blood pressure variation with a subsequent decline in glomerular filtration rate. Arch Intern Med166 :846– 852,2006.</w:t>
      </w:r>
    </w:p>
  </w:endnote>
  <w:endnote w:id="128">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Matsui Y, Kario K, Ishikawa J, Hoshide S, Eguchi K, Shimada K: Smoking and antihypertensive medication: Interaction between blood pressure reduction and arterial stiffness. Hypertens Res28 :631– 638,2005.</w:t>
      </w:r>
    </w:p>
  </w:endnote>
  <w:endnote w:id="129">
    <w:p w:rsidR="00651852" w:rsidRPr="00244544" w:rsidRDefault="00651852" w:rsidP="00D340CD">
      <w:pPr>
        <w:pStyle w:val="Textonotaalfinal"/>
        <w:rPr>
          <w:lang w:val="en-US"/>
        </w:rPr>
      </w:pPr>
      <w:r w:rsidRPr="009A7C55">
        <w:rPr>
          <w:rStyle w:val="Refdenotaalfinal"/>
          <w:rFonts w:cs="Arial"/>
          <w:sz w:val="16"/>
          <w:szCs w:val="16"/>
        </w:rPr>
        <w:endnoteRef/>
      </w:r>
      <w:r w:rsidRPr="009A7C55">
        <w:rPr>
          <w:rFonts w:cs="Arial"/>
          <w:sz w:val="16"/>
          <w:szCs w:val="16"/>
          <w:lang w:val="en-US"/>
        </w:rPr>
        <w:t>Ejerblad E, Fored CM, Lindblad P, Fryzek J, Dickman PW, Elinder CG, McLaughlin JK, Nyrén O: Association between smoking and chronic renal failure in a nationwide population-based case-control study. J Am Soc Nephrol15 :2178– 2185,2004.</w:t>
      </w:r>
    </w:p>
  </w:endnote>
  <w:endnote w:id="130">
    <w:p w:rsidR="00651852" w:rsidRPr="00244544" w:rsidRDefault="00651852" w:rsidP="00B74802">
      <w:pPr>
        <w:pStyle w:val="Textonotaalfinal"/>
        <w:rPr>
          <w:lang w:val="en-US"/>
        </w:rPr>
      </w:pPr>
      <w:r w:rsidRPr="009A7C55">
        <w:rPr>
          <w:rStyle w:val="Refdenotaalfinal"/>
          <w:rFonts w:cs="Arial"/>
          <w:sz w:val="16"/>
          <w:szCs w:val="16"/>
        </w:rPr>
        <w:endnoteRef/>
      </w:r>
      <w:r w:rsidRPr="009A7C55">
        <w:rPr>
          <w:rFonts w:cs="Arial"/>
          <w:sz w:val="16"/>
          <w:szCs w:val="16"/>
          <w:lang w:val="en-US"/>
        </w:rPr>
        <w:t>Chase HP, Garg SK, Marshall G, Berg CL, Harris S, Jackson WE, Hamman RE: Cigarette smoking increases the risk of albuminuria among subjects with type I diabetes. JAMA265 :614– 617,1991.</w:t>
      </w:r>
    </w:p>
  </w:endnote>
  <w:endnote w:id="131">
    <w:p w:rsidR="00651852" w:rsidRPr="009B3042" w:rsidRDefault="00651852" w:rsidP="00B74802">
      <w:pPr>
        <w:pStyle w:val="Textonotaalfinal"/>
      </w:pPr>
      <w:r w:rsidRPr="009A7C55">
        <w:rPr>
          <w:rStyle w:val="Refdenotaalfinal"/>
          <w:rFonts w:cs="Arial"/>
          <w:sz w:val="16"/>
          <w:szCs w:val="16"/>
        </w:rPr>
        <w:endnoteRef/>
      </w:r>
      <w:r w:rsidRPr="007B31FC">
        <w:rPr>
          <w:rFonts w:cs="Arial"/>
          <w:sz w:val="16"/>
          <w:szCs w:val="16"/>
          <w:lang w:val="en-US"/>
        </w:rPr>
        <w:t xml:space="preserve">Sawicki PT, Didjurgeit U, Muhlhauser I, Bender R, Heinemann L, Berger M. Smoking is associated with progression of diabetic nephropathy. </w:t>
      </w:r>
      <w:r w:rsidRPr="009B3042">
        <w:rPr>
          <w:rFonts w:cs="Arial"/>
          <w:sz w:val="16"/>
          <w:szCs w:val="16"/>
        </w:rPr>
        <w:t>Diabetes Care 1994; 17: 126–31.</w:t>
      </w:r>
    </w:p>
  </w:endnote>
  <w:endnote w:id="132">
    <w:p w:rsidR="00651852" w:rsidRPr="00244544" w:rsidRDefault="00651852" w:rsidP="00B70169">
      <w:pPr>
        <w:pStyle w:val="Textonotaalfinal"/>
        <w:rPr>
          <w:lang w:val="en-US"/>
        </w:rPr>
      </w:pPr>
      <w:r w:rsidRPr="009A7C55">
        <w:rPr>
          <w:rStyle w:val="Refdenotaalfinal"/>
          <w:rFonts w:cs="Arial"/>
          <w:sz w:val="16"/>
          <w:szCs w:val="16"/>
        </w:rPr>
        <w:endnoteRef/>
      </w:r>
      <w:r w:rsidRPr="009A7C55">
        <w:rPr>
          <w:rFonts w:cs="Arial"/>
          <w:sz w:val="16"/>
          <w:szCs w:val="16"/>
        </w:rPr>
        <w:t xml:space="preserve">Jiménez-Ruiz C.A, Guirao García A, Rivero Cuadrado A. La Financiación de los tratamientos farmacológicos del tabaquismo, ¿es, realmente, un problema?. </w:t>
      </w:r>
      <w:r w:rsidRPr="009A7C55">
        <w:rPr>
          <w:rFonts w:cs="Arial"/>
          <w:sz w:val="16"/>
          <w:szCs w:val="16"/>
          <w:lang w:val="en-US"/>
        </w:rPr>
        <w:t>Prev Tab 2007;9(2):49-50.</w:t>
      </w:r>
    </w:p>
  </w:endnote>
  <w:endnote w:id="133">
    <w:p w:rsidR="00651852" w:rsidRPr="00244544" w:rsidRDefault="00651852">
      <w:pPr>
        <w:pStyle w:val="Textonotaalfinal"/>
        <w:rPr>
          <w:lang w:val="en-US"/>
        </w:rPr>
      </w:pPr>
      <w:r w:rsidRPr="009A7C55">
        <w:rPr>
          <w:rStyle w:val="Refdenotaalfinal"/>
          <w:rFonts w:cs="Arial"/>
          <w:sz w:val="16"/>
          <w:szCs w:val="16"/>
        </w:rPr>
        <w:endnoteRef/>
      </w:r>
      <w:r w:rsidRPr="009A7C55">
        <w:rPr>
          <w:rFonts w:cs="Arial"/>
          <w:sz w:val="16"/>
          <w:szCs w:val="16"/>
          <w:lang w:val="en-US"/>
        </w:rPr>
        <w:t>Manley HJ, Stack NM. Smoking cessation therapy considerations for patients with chronic kidney disease. Nephrol Nurs J 2008; 35: 357-363.)</w:t>
      </w:r>
    </w:p>
  </w:endnote>
  <w:endnote w:id="134">
    <w:p w:rsidR="00651852" w:rsidRPr="00244544" w:rsidRDefault="00651852" w:rsidP="00B70169">
      <w:pPr>
        <w:pStyle w:val="Textonotaalfinal"/>
        <w:rPr>
          <w:lang w:val="en-US"/>
        </w:rPr>
      </w:pPr>
      <w:r w:rsidRPr="009A7C55">
        <w:rPr>
          <w:rStyle w:val="Refdenotaalfinal"/>
          <w:rFonts w:cs="Arial"/>
          <w:sz w:val="16"/>
          <w:szCs w:val="16"/>
        </w:rPr>
        <w:endnoteRef/>
      </w:r>
      <w:r w:rsidRPr="009A7C55">
        <w:rPr>
          <w:rFonts w:cs="Arial"/>
          <w:sz w:val="16"/>
          <w:szCs w:val="16"/>
          <w:lang w:val="en-US"/>
        </w:rPr>
        <w:t>Chagnac A, Weinstein T, Korzets A, Ramadan E, Hirsch J. Gafter U. Glomerular hemodynamic in severe obesity. Am J Physiol Renal Physiol 2000;278:F817-F822.</w:t>
      </w:r>
    </w:p>
  </w:endnote>
  <w:endnote w:id="135">
    <w:p w:rsidR="00651852" w:rsidRPr="00244544" w:rsidRDefault="00651852" w:rsidP="00B70169">
      <w:pPr>
        <w:pStyle w:val="Textonotaalfinal"/>
        <w:rPr>
          <w:lang w:val="en-US"/>
        </w:rPr>
      </w:pPr>
      <w:r w:rsidRPr="009A7C55">
        <w:rPr>
          <w:rStyle w:val="Refdenotaalfinal"/>
          <w:rFonts w:cs="Arial"/>
          <w:sz w:val="16"/>
          <w:szCs w:val="16"/>
        </w:rPr>
        <w:endnoteRef/>
      </w:r>
      <w:r w:rsidRPr="009A7C55">
        <w:rPr>
          <w:rFonts w:cs="Arial"/>
          <w:sz w:val="16"/>
          <w:szCs w:val="16"/>
          <w:lang w:val="en-US"/>
        </w:rPr>
        <w:t>Eknoyan G. Obesity and chronic kidney disease. Nefrología. 2011;31:397-403.</w:t>
      </w:r>
    </w:p>
  </w:endnote>
  <w:endnote w:id="136">
    <w:p w:rsidR="00651852" w:rsidRPr="00244544" w:rsidRDefault="00651852" w:rsidP="00B70169">
      <w:pPr>
        <w:pStyle w:val="Textonotaalfinal"/>
        <w:rPr>
          <w:lang w:val="en-US"/>
        </w:rPr>
      </w:pPr>
      <w:r w:rsidRPr="009A7C55">
        <w:rPr>
          <w:rStyle w:val="Refdenotaalfinal"/>
          <w:rFonts w:cs="Arial"/>
          <w:sz w:val="16"/>
          <w:szCs w:val="16"/>
        </w:rPr>
        <w:endnoteRef/>
      </w:r>
      <w:r w:rsidRPr="009A7C55">
        <w:rPr>
          <w:rFonts w:cs="Arial"/>
          <w:sz w:val="16"/>
          <w:szCs w:val="16"/>
          <w:lang w:val="en-US"/>
        </w:rPr>
        <w:t>Kalaitzidis RG, Siamopoulos KC. The role of obesity in kidney disease: recent findings and potential mechanisms. Int Urol Nephrol. 2011;43:771-84.</w:t>
      </w:r>
    </w:p>
  </w:endnote>
  <w:endnote w:id="137">
    <w:p w:rsidR="00651852" w:rsidRPr="00244544" w:rsidRDefault="00651852" w:rsidP="00B70169">
      <w:pPr>
        <w:pStyle w:val="Textonotaalfinal"/>
        <w:rPr>
          <w:lang w:val="en-US"/>
        </w:rPr>
      </w:pPr>
      <w:r w:rsidRPr="009A7C55">
        <w:rPr>
          <w:rStyle w:val="Refdenotaalfinal"/>
          <w:rFonts w:cs="Arial"/>
          <w:sz w:val="16"/>
          <w:szCs w:val="16"/>
        </w:rPr>
        <w:endnoteRef/>
      </w:r>
      <w:r w:rsidRPr="009A7C55">
        <w:rPr>
          <w:rFonts w:cs="Arial"/>
          <w:sz w:val="16"/>
          <w:szCs w:val="16"/>
          <w:lang w:val="en-US"/>
        </w:rPr>
        <w:t>Wang Y, Chen X, Song Y, Caballero B, Cheskin LJ. Association between obesity and kidney disease. A systematic review and metaanalysis. Kidney Int 2008;73:19-33.</w:t>
      </w:r>
    </w:p>
  </w:endnote>
  <w:endnote w:id="138">
    <w:p w:rsidR="00651852" w:rsidRPr="00AE6F02" w:rsidRDefault="00651852" w:rsidP="00B70169">
      <w:pPr>
        <w:pStyle w:val="Textonotaalfinal"/>
        <w:rPr>
          <w:rFonts w:cs="Arial"/>
          <w:sz w:val="16"/>
          <w:szCs w:val="16"/>
          <w:lang w:val="en-US"/>
        </w:rPr>
      </w:pPr>
      <w:r w:rsidRPr="009A7C55">
        <w:rPr>
          <w:rStyle w:val="Refdenotaalfinal"/>
          <w:rFonts w:cs="Arial"/>
          <w:sz w:val="16"/>
          <w:szCs w:val="16"/>
        </w:rPr>
        <w:endnoteRef/>
      </w:r>
      <w:r w:rsidRPr="009A7C55">
        <w:rPr>
          <w:rFonts w:cs="Arial"/>
          <w:sz w:val="16"/>
          <w:szCs w:val="16"/>
          <w:lang w:val="en-US"/>
        </w:rPr>
        <w:t>Navaneethan SD, Yehnert H, Moustarah F, Schr</w:t>
      </w:r>
      <w:r>
        <w:rPr>
          <w:rFonts w:cs="Arial"/>
          <w:sz w:val="16"/>
          <w:szCs w:val="16"/>
          <w:lang w:val="en-US"/>
        </w:rPr>
        <w:t xml:space="preserve">eiber MJ, Schauer PR, Beddhu S. </w:t>
      </w:r>
      <w:r w:rsidRPr="009A7C55">
        <w:rPr>
          <w:rFonts w:cs="Arial"/>
          <w:sz w:val="16"/>
          <w:szCs w:val="16"/>
          <w:lang w:val="en-US"/>
        </w:rPr>
        <w:t>Weight loss interventions in chronic kidney disease: a systematic review and meta-analysis. Clin J Am Soc Nephrol. 2009;4:1565-74.</w:t>
      </w:r>
    </w:p>
  </w:endnote>
  <w:endnote w:id="139">
    <w:p w:rsidR="00651852" w:rsidRPr="00AE6F02" w:rsidRDefault="00651852" w:rsidP="00B70169">
      <w:pPr>
        <w:pStyle w:val="Textonotaalfinal"/>
        <w:rPr>
          <w:rFonts w:cs="Arial"/>
          <w:sz w:val="16"/>
          <w:szCs w:val="16"/>
          <w:lang w:val="en-US"/>
        </w:rPr>
      </w:pPr>
      <w:r w:rsidRPr="009A7C55">
        <w:rPr>
          <w:rStyle w:val="Refdenotaalfinal"/>
          <w:rFonts w:cs="Arial"/>
          <w:sz w:val="16"/>
          <w:szCs w:val="16"/>
        </w:rPr>
        <w:endnoteRef/>
      </w:r>
      <w:r w:rsidRPr="00AE6F02">
        <w:rPr>
          <w:rFonts w:cs="Arial"/>
          <w:sz w:val="16"/>
          <w:szCs w:val="16"/>
          <w:lang w:val="en-US"/>
        </w:rPr>
        <w:t>Morales E, Praga M. The Effect of Weight Loss in Obesity and Chronic Kidney Disease. Curr Hypertens Rep 2012; 14: 170-6.</w:t>
      </w:r>
    </w:p>
  </w:endnote>
  <w:endnote w:id="140">
    <w:p w:rsidR="00651852" w:rsidRPr="00244544" w:rsidRDefault="00651852" w:rsidP="004C67AB">
      <w:pPr>
        <w:pStyle w:val="Textonotaalfinal"/>
        <w:rPr>
          <w:lang w:val="en-US"/>
        </w:rPr>
      </w:pPr>
      <w:r w:rsidRPr="009A7C55">
        <w:rPr>
          <w:rStyle w:val="Refdenotaalfinal"/>
          <w:rFonts w:cs="Arial"/>
          <w:sz w:val="16"/>
          <w:szCs w:val="16"/>
        </w:rPr>
        <w:endnoteRef/>
      </w:r>
      <w:r w:rsidRPr="009A7C55">
        <w:rPr>
          <w:rFonts w:cs="Arial"/>
          <w:sz w:val="16"/>
          <w:szCs w:val="16"/>
          <w:lang w:val="en-US"/>
        </w:rPr>
        <w:t>Feig DI, Kang DH, Johnson RJ. Uric acid and cardiovascular risk. N Engl J Med 2008;359(17):1811-21.</w:t>
      </w:r>
    </w:p>
  </w:endnote>
  <w:endnote w:id="141">
    <w:p w:rsidR="00651852" w:rsidRDefault="00651852" w:rsidP="004C67AB">
      <w:pPr>
        <w:pStyle w:val="Textonotaalfinal"/>
      </w:pPr>
      <w:r w:rsidRPr="009A7C55">
        <w:rPr>
          <w:rStyle w:val="Refdenotaalfinal"/>
          <w:rFonts w:cs="Arial"/>
          <w:sz w:val="16"/>
          <w:szCs w:val="16"/>
        </w:rPr>
        <w:endnoteRef/>
      </w:r>
      <w:r w:rsidRPr="009A7C55">
        <w:rPr>
          <w:rFonts w:cs="Arial"/>
          <w:sz w:val="16"/>
          <w:szCs w:val="16"/>
          <w:lang w:val="en-US"/>
        </w:rPr>
        <w:t xml:space="preserve">Niskanen LK, Laaksonen DE, Nyyssönen K. Uric acid level as a risk factor for cardiovascular and all-cause mortality in middle-aged men: a prospective cohort study. </w:t>
      </w:r>
      <w:r w:rsidRPr="009A7C55">
        <w:rPr>
          <w:rFonts w:cs="Arial"/>
          <w:sz w:val="16"/>
          <w:szCs w:val="16"/>
        </w:rPr>
        <w:t>Arch Intern Med 2004; 164: 1546-51.</w:t>
      </w:r>
    </w:p>
  </w:endnote>
  <w:endnote w:id="142">
    <w:p w:rsidR="00651852" w:rsidRPr="00244544" w:rsidRDefault="00651852" w:rsidP="00DF3A25">
      <w:pPr>
        <w:pStyle w:val="Textonotaalfinal"/>
        <w:rPr>
          <w:lang w:val="en-US"/>
        </w:rPr>
      </w:pPr>
      <w:r w:rsidRPr="009A7C55">
        <w:rPr>
          <w:rStyle w:val="Refdenotaalfinal"/>
          <w:rFonts w:cs="Arial"/>
          <w:sz w:val="16"/>
          <w:szCs w:val="16"/>
        </w:rPr>
        <w:endnoteRef/>
      </w:r>
      <w:r w:rsidRPr="009A7C55">
        <w:rPr>
          <w:rFonts w:cs="Arial"/>
          <w:sz w:val="16"/>
          <w:szCs w:val="16"/>
        </w:rPr>
        <w:t xml:space="preserve">Molina P, Beltrán S, Ávila A, Escudero V, Górriz J.L., Alcoy E., Pallardó L.M. ¿Es el ácido úrico un factor de riesgo cardiovascular?, ¿cuál es su implicación en la progresión de la enfermedad renal crónica? </w:t>
      </w:r>
      <w:r w:rsidRPr="00244544">
        <w:rPr>
          <w:rFonts w:cs="Arial"/>
          <w:sz w:val="16"/>
          <w:szCs w:val="16"/>
          <w:lang w:val="en-US"/>
        </w:rPr>
        <w:t>Nefrología Sup Ext 2011; 2(5): 131-9.</w:t>
      </w:r>
    </w:p>
  </w:endnote>
  <w:endnote w:id="143">
    <w:p w:rsidR="00651852" w:rsidRPr="00244544" w:rsidRDefault="00651852" w:rsidP="00DF3A25">
      <w:pPr>
        <w:pStyle w:val="Textonotaalfinal"/>
        <w:rPr>
          <w:lang w:val="en-US"/>
        </w:rPr>
      </w:pPr>
      <w:r w:rsidRPr="009A7C55">
        <w:rPr>
          <w:rStyle w:val="Refdenotaalfinal"/>
          <w:rFonts w:cs="Arial"/>
          <w:sz w:val="16"/>
          <w:szCs w:val="16"/>
        </w:rPr>
        <w:endnoteRef/>
      </w:r>
      <w:r w:rsidRPr="00244544">
        <w:rPr>
          <w:rFonts w:cs="Arial"/>
          <w:sz w:val="16"/>
          <w:szCs w:val="16"/>
          <w:lang w:val="en-US"/>
        </w:rPr>
        <w:t>Menè P, Punzo G. Uric acid: bystander or culprit in hypertension and progressive renal disease? J Hypertens 2008; 26: 2085-02.</w:t>
      </w:r>
    </w:p>
  </w:endnote>
  <w:endnote w:id="144">
    <w:p w:rsidR="00651852" w:rsidRPr="00244544" w:rsidRDefault="00651852" w:rsidP="00DF3A25">
      <w:pPr>
        <w:pStyle w:val="Textonotaalfinal"/>
        <w:rPr>
          <w:lang w:val="en-US"/>
        </w:rPr>
      </w:pPr>
      <w:r w:rsidRPr="009A7C55">
        <w:rPr>
          <w:rStyle w:val="Refdenotaalfinal"/>
          <w:rFonts w:cs="Arial"/>
          <w:sz w:val="16"/>
          <w:szCs w:val="16"/>
        </w:rPr>
        <w:endnoteRef/>
      </w:r>
      <w:r w:rsidRPr="00244544">
        <w:rPr>
          <w:rFonts w:cs="Arial"/>
          <w:sz w:val="16"/>
          <w:szCs w:val="16"/>
          <w:lang w:val="en-US"/>
        </w:rPr>
        <w:t>Kim, Y.S.a , Guevara, J.P.b , Kim, K.M.c , Choi, H.K.d , Heitjan, D.F.e , Albert, D.A.f Hyperuricemia and coronary heart disease: A systematic review and meta-analysis (2010) Arthritis Care and Research, 62 (2), pp. 170-180.</w:t>
      </w:r>
    </w:p>
  </w:endnote>
  <w:endnote w:id="145">
    <w:p w:rsidR="00651852" w:rsidRPr="00244544" w:rsidRDefault="00651852" w:rsidP="00DF3A25">
      <w:pPr>
        <w:pStyle w:val="Textonotaalfinal"/>
        <w:rPr>
          <w:lang w:val="en-US"/>
        </w:rPr>
      </w:pPr>
      <w:r w:rsidRPr="009A7C55">
        <w:rPr>
          <w:rStyle w:val="Refdenotaalfinal"/>
          <w:rFonts w:cs="Arial"/>
          <w:sz w:val="16"/>
          <w:szCs w:val="16"/>
        </w:rPr>
        <w:endnoteRef/>
      </w:r>
      <w:r w:rsidRPr="00244544">
        <w:rPr>
          <w:rFonts w:cs="Arial"/>
          <w:sz w:val="16"/>
          <w:szCs w:val="16"/>
          <w:lang w:val="en-US"/>
        </w:rPr>
        <w:t xml:space="preserve">Feig DI, Soletsky B, Johnson RJ. </w:t>
      </w:r>
      <w:r w:rsidRPr="009A7C55">
        <w:rPr>
          <w:rFonts w:cs="Arial"/>
          <w:sz w:val="16"/>
          <w:szCs w:val="16"/>
          <w:lang w:val="en-US"/>
        </w:rPr>
        <w:t>Effect of allopurinol on blood pressure of adolescents with newly diagnosed essential hypertension. A randomized trial.JAMA 2008; 300: 924-32.</w:t>
      </w:r>
    </w:p>
  </w:endnote>
  <w:endnote w:id="146">
    <w:p w:rsidR="00651852" w:rsidRPr="00244544" w:rsidRDefault="00651852" w:rsidP="00DF3A25">
      <w:pPr>
        <w:pStyle w:val="Textonotaalfinal"/>
        <w:rPr>
          <w:lang w:val="en-US"/>
        </w:rPr>
      </w:pPr>
      <w:r w:rsidRPr="009A7C55">
        <w:rPr>
          <w:rStyle w:val="Refdenotaalfinal"/>
          <w:rFonts w:cs="Arial"/>
          <w:sz w:val="16"/>
          <w:szCs w:val="16"/>
        </w:rPr>
        <w:endnoteRef/>
      </w:r>
      <w:r w:rsidRPr="009A7C55">
        <w:rPr>
          <w:rFonts w:cs="Arial"/>
          <w:sz w:val="16"/>
          <w:szCs w:val="16"/>
          <w:lang w:val="en-US"/>
        </w:rPr>
        <w:t>K Goicoechea M, De Vinuesa SG,Verdalles U,Ruiz Caro C,Ampuero J, Rincón A, et al Effect of allopurinol in chronic kidney disease progression and cardiovascular risk. Clin J Am Soc Nephrol 2010;5(8):1388-93.</w:t>
      </w:r>
    </w:p>
  </w:endnote>
  <w:endnote w:id="147">
    <w:p w:rsidR="00651852" w:rsidRPr="009B3042" w:rsidRDefault="00651852" w:rsidP="00EE0252">
      <w:pPr>
        <w:pStyle w:val="Textonotaalfinal"/>
        <w:jc w:val="left"/>
        <w:rPr>
          <w:lang w:val="en-US"/>
        </w:rPr>
      </w:pPr>
      <w:r w:rsidRPr="009A7C55">
        <w:rPr>
          <w:rStyle w:val="Refdenotaalfinal"/>
          <w:rFonts w:cs="Arial"/>
          <w:sz w:val="16"/>
          <w:szCs w:val="16"/>
        </w:rPr>
        <w:endnoteRef/>
      </w:r>
      <w:r w:rsidRPr="009A7C55">
        <w:rPr>
          <w:rFonts w:cs="Arial"/>
          <w:sz w:val="16"/>
          <w:szCs w:val="16"/>
          <w:lang w:val="en-US"/>
        </w:rPr>
        <w:t xml:space="preserve">MDConsult. </w:t>
      </w:r>
      <w:r w:rsidRPr="009B3042">
        <w:rPr>
          <w:rFonts w:cs="Arial"/>
          <w:sz w:val="16"/>
          <w:szCs w:val="16"/>
          <w:lang w:val="en-US"/>
        </w:rPr>
        <w:t>Drug Information: Allopurinol [web en línea] Disponible en Internet desde: http://home.mdconsult.com/das/drug/body/0/1/133.html#D000133.</w:t>
      </w:r>
    </w:p>
  </w:endnote>
  <w:endnote w:id="148">
    <w:p w:rsidR="00651852" w:rsidRDefault="00651852" w:rsidP="00DF3A25">
      <w:pPr>
        <w:pStyle w:val="Textonotaalfinal"/>
      </w:pPr>
      <w:r w:rsidRPr="009A7C55">
        <w:rPr>
          <w:rStyle w:val="Refdenotaalfinal"/>
          <w:rFonts w:cs="Arial"/>
          <w:sz w:val="16"/>
          <w:szCs w:val="16"/>
        </w:rPr>
        <w:endnoteRef/>
      </w:r>
      <w:r w:rsidRPr="00244544">
        <w:rPr>
          <w:rFonts w:cs="Arial"/>
          <w:sz w:val="16"/>
          <w:szCs w:val="16"/>
        </w:rPr>
        <w:t>Martindale. Guía completa de consulta farmacoterapeutica. Alopurinol. Disponible en: http://www.imedicinas.com/MD/.</w:t>
      </w:r>
    </w:p>
  </w:endnote>
  <w:endnote w:id="149">
    <w:p w:rsidR="00651852" w:rsidRPr="00244544" w:rsidRDefault="00651852" w:rsidP="00DF3A25">
      <w:pPr>
        <w:pStyle w:val="Textonotaalfinal"/>
        <w:rPr>
          <w:lang w:val="en-US"/>
        </w:rPr>
      </w:pPr>
      <w:r w:rsidRPr="009A7C55">
        <w:rPr>
          <w:rStyle w:val="Refdenotaalfinal"/>
          <w:rFonts w:cs="Arial"/>
          <w:sz w:val="16"/>
          <w:szCs w:val="16"/>
        </w:rPr>
        <w:endnoteRef/>
      </w:r>
      <w:r w:rsidRPr="009A7C55">
        <w:rPr>
          <w:rFonts w:cs="Arial"/>
          <w:sz w:val="16"/>
          <w:szCs w:val="16"/>
          <w:lang w:val="en-US"/>
        </w:rPr>
        <w:t>George J , Carr E , Davies J , Belch J.J.F, Struthers A. High-dose allopurinol improves endothelial function by profoundly reducing vascular oxidative stress and not by lowering uric acid (2006) Circulation, 114 (23), pp. 2508-2516.</w:t>
      </w:r>
    </w:p>
  </w:endnote>
  <w:endnote w:id="150">
    <w:p w:rsidR="00651852" w:rsidRPr="00244544" w:rsidRDefault="00651852" w:rsidP="00DF3A25">
      <w:pPr>
        <w:pStyle w:val="Textonotaalfinal"/>
        <w:rPr>
          <w:lang w:val="en-US"/>
        </w:rPr>
      </w:pPr>
      <w:r w:rsidRPr="009A7C55">
        <w:rPr>
          <w:rStyle w:val="Refdenotaalfinal"/>
          <w:rFonts w:cs="Arial"/>
          <w:sz w:val="16"/>
          <w:szCs w:val="16"/>
        </w:rPr>
        <w:endnoteRef/>
      </w:r>
      <w:r w:rsidRPr="009A7C55">
        <w:rPr>
          <w:rFonts w:cs="Arial"/>
          <w:sz w:val="16"/>
          <w:szCs w:val="16"/>
          <w:lang w:val="en-US"/>
        </w:rPr>
        <w:t>Hare J.M , Mangal B , Brown J , Fisher C , Freudenberger R, Colucci WS, Mann D.L , Liu P , Givertz M.M , Schwarz RP. Impact of Oxypurinol in Patients With Symptomatic Heart Failure. Results of the OPT-CHF Study (2008) Journal of the American College of Cardiology, 51 (24), pp. 2301-2309.</w:t>
      </w:r>
    </w:p>
  </w:endnote>
  <w:endnote w:id="151">
    <w:p w:rsidR="00651852" w:rsidRPr="00244544" w:rsidRDefault="00651852" w:rsidP="00DF3A25">
      <w:pPr>
        <w:pStyle w:val="Textonotaalfinal"/>
        <w:rPr>
          <w:lang w:val="en-US"/>
        </w:rPr>
      </w:pPr>
      <w:r w:rsidRPr="009A7C55">
        <w:rPr>
          <w:rStyle w:val="Refdenotaalfinal"/>
          <w:rFonts w:cs="Arial"/>
          <w:sz w:val="16"/>
          <w:szCs w:val="16"/>
        </w:rPr>
        <w:endnoteRef/>
      </w:r>
      <w:r w:rsidRPr="009A7C55">
        <w:rPr>
          <w:rFonts w:cs="Arial"/>
          <w:sz w:val="16"/>
          <w:szCs w:val="16"/>
          <w:lang w:val="en-US"/>
        </w:rPr>
        <w:t>Noman A , Ang DS , Ogston S , Lang CC , Struthers AD. Effect of high-dose allopurinol on exercise in patients with chronic stable angina: a randomised, placebo controlled crossover trial (2010) The Lancet, 375 (9732), pp. 2161-2167.</w:t>
      </w:r>
    </w:p>
  </w:endnote>
  <w:endnote w:id="152">
    <w:p w:rsidR="00651852" w:rsidRDefault="00651852" w:rsidP="00DF3A25">
      <w:pPr>
        <w:pStyle w:val="Textonotaalfinal"/>
      </w:pPr>
      <w:r w:rsidRPr="009A7C55">
        <w:rPr>
          <w:rStyle w:val="Refdenotaalfinal"/>
          <w:rFonts w:cs="Arial"/>
          <w:sz w:val="16"/>
          <w:szCs w:val="16"/>
        </w:rPr>
        <w:endnoteRef/>
      </w:r>
      <w:r w:rsidRPr="009A7C55">
        <w:rPr>
          <w:rFonts w:cs="Arial"/>
          <w:sz w:val="16"/>
          <w:szCs w:val="16"/>
          <w:lang w:val="de-DE"/>
        </w:rPr>
        <w:t xml:space="preserve">Becker MA; Schumacher HR, Espinoza LR, et al. </w:t>
      </w:r>
      <w:r w:rsidRPr="009A7C55">
        <w:rPr>
          <w:rFonts w:cs="Arial"/>
          <w:sz w:val="16"/>
          <w:szCs w:val="16"/>
          <w:lang w:val="en-US"/>
        </w:rPr>
        <w:t xml:space="preserve">The urate-lowering efficacy and safety of febuxostat in the treatment of the hiperuricemia of gout: the CONFIRMS trial. </w:t>
      </w:r>
      <w:r w:rsidRPr="009A7C55">
        <w:rPr>
          <w:rFonts w:cs="Arial"/>
          <w:sz w:val="16"/>
          <w:szCs w:val="16"/>
        </w:rPr>
        <w:t>Arthritis Res Ther 2010; 12: R63.</w:t>
      </w:r>
    </w:p>
  </w:endnote>
  <w:endnote w:id="153">
    <w:p w:rsidR="00651852" w:rsidRDefault="00651852" w:rsidP="00080F1B">
      <w:pPr>
        <w:pStyle w:val="Textonotaalfinal"/>
      </w:pPr>
      <w:r w:rsidRPr="009A7C55">
        <w:rPr>
          <w:rStyle w:val="Refdenotaalfinal"/>
          <w:rFonts w:cs="Arial"/>
          <w:sz w:val="16"/>
          <w:szCs w:val="16"/>
        </w:rPr>
        <w:endnoteRef/>
      </w:r>
      <w:r w:rsidRPr="009A7C55">
        <w:rPr>
          <w:rFonts w:cs="Arial"/>
          <w:sz w:val="16"/>
          <w:szCs w:val="16"/>
        </w:rPr>
        <w:t>Cabrera L, Ruiz B, Sancho A. Eritropoyetina: revisión de sus indicaciones. IT del sistema nacional de salud. 2009;33(1):3 – 9.</w:t>
      </w:r>
    </w:p>
  </w:endnote>
  <w:endnote w:id="154">
    <w:p w:rsidR="00651852" w:rsidRDefault="00651852" w:rsidP="00783FB0">
      <w:pPr>
        <w:pStyle w:val="Textonotaalfinal"/>
      </w:pPr>
      <w:r w:rsidRPr="009A7C55">
        <w:rPr>
          <w:rStyle w:val="Refdenotaalfinal"/>
          <w:rFonts w:cs="Arial"/>
          <w:sz w:val="16"/>
          <w:szCs w:val="16"/>
        </w:rPr>
        <w:endnoteRef/>
      </w:r>
      <w:r w:rsidRPr="009A7C55">
        <w:rPr>
          <w:rFonts w:cs="Arial"/>
          <w:sz w:val="16"/>
          <w:szCs w:val="16"/>
        </w:rPr>
        <w:t xml:space="preserve">Locatelli F, Aljama P, Bárány P, Canaud B, Carrera F, Eckardt KU et al. </w:t>
      </w:r>
      <w:r w:rsidRPr="009A7C55">
        <w:rPr>
          <w:rFonts w:cs="Arial"/>
          <w:sz w:val="16"/>
          <w:szCs w:val="16"/>
          <w:lang w:val="en-US"/>
        </w:rPr>
        <w:t xml:space="preserve">European Best Practice Guidelines Working Group. Revised European best practice guidelines for the management of anaemia in patients with chronic renal failure. </w:t>
      </w:r>
      <w:r w:rsidRPr="009A7C55">
        <w:rPr>
          <w:rFonts w:cs="Arial"/>
          <w:sz w:val="16"/>
          <w:szCs w:val="16"/>
        </w:rPr>
        <w:t>Nephrol Dial Transplant. 2004; 19 (Supl. 2): 1-47.</w:t>
      </w:r>
    </w:p>
  </w:endnote>
  <w:endnote w:id="155">
    <w:p w:rsidR="00651852" w:rsidRPr="00244544" w:rsidRDefault="00651852" w:rsidP="00080F1B">
      <w:pPr>
        <w:pStyle w:val="Textonotaalfinal"/>
        <w:rPr>
          <w:lang w:val="en-US"/>
        </w:rPr>
      </w:pPr>
      <w:r w:rsidRPr="009A7C55">
        <w:rPr>
          <w:rStyle w:val="Refdenotaalfinal"/>
          <w:rFonts w:cs="Arial"/>
          <w:sz w:val="16"/>
          <w:szCs w:val="16"/>
        </w:rPr>
        <w:endnoteRef/>
      </w:r>
      <w:r w:rsidRPr="009A7C55">
        <w:rPr>
          <w:rFonts w:cs="Arial"/>
          <w:sz w:val="16"/>
          <w:szCs w:val="16"/>
        </w:rPr>
        <w:t xml:space="preserve">Lopez JM. Manejo de la anemia en la enfermedad renal crónica. </w:t>
      </w:r>
      <w:r w:rsidRPr="009A7C55">
        <w:rPr>
          <w:rFonts w:cs="Arial"/>
          <w:sz w:val="16"/>
          <w:szCs w:val="16"/>
          <w:lang w:val="sv-SE"/>
        </w:rPr>
        <w:t>Nefrología 2008; Supl. 3 (63-66)</w:t>
      </w:r>
    </w:p>
  </w:endnote>
  <w:endnote w:id="156">
    <w:p w:rsidR="00651852" w:rsidRPr="00244544" w:rsidRDefault="00651852" w:rsidP="00080F1B">
      <w:pPr>
        <w:pStyle w:val="Textonotaalfinal"/>
        <w:rPr>
          <w:lang w:val="en-US"/>
        </w:rPr>
      </w:pPr>
      <w:r w:rsidRPr="009A7C55">
        <w:rPr>
          <w:rStyle w:val="Refdenotaalfinal"/>
          <w:rFonts w:cs="Arial"/>
          <w:sz w:val="16"/>
          <w:szCs w:val="16"/>
        </w:rPr>
        <w:endnoteRef/>
      </w:r>
      <w:r w:rsidRPr="009A7C55">
        <w:rPr>
          <w:rFonts w:cs="Arial"/>
          <w:sz w:val="16"/>
          <w:szCs w:val="16"/>
          <w:lang w:val="sv-SE"/>
        </w:rPr>
        <w:t xml:space="preserve">Fiona M, </w:t>
      </w:r>
      <w:hyperlink r:id="rId1" w:history="1">
        <w:r w:rsidRPr="009A7C55">
          <w:rPr>
            <w:rFonts w:cs="Arial"/>
            <w:sz w:val="16"/>
            <w:szCs w:val="16"/>
            <w:lang w:val="sv-SE"/>
          </w:rPr>
          <w:t>Klarenbach S</w:t>
        </w:r>
      </w:hyperlink>
      <w:r w:rsidRPr="009A7C55">
        <w:rPr>
          <w:rFonts w:cs="Arial"/>
          <w:sz w:val="16"/>
          <w:szCs w:val="16"/>
          <w:lang w:val="sv-SE"/>
        </w:rPr>
        <w:t xml:space="preserve">, </w:t>
      </w:r>
      <w:hyperlink r:id="rId2" w:history="1">
        <w:r w:rsidRPr="009A7C55">
          <w:rPr>
            <w:rFonts w:cs="Arial"/>
            <w:sz w:val="16"/>
            <w:szCs w:val="16"/>
            <w:lang w:val="sv-SE"/>
          </w:rPr>
          <w:t>Tonelli M</w:t>
        </w:r>
      </w:hyperlink>
      <w:r w:rsidRPr="009A7C55">
        <w:rPr>
          <w:rFonts w:cs="Arial"/>
          <w:sz w:val="16"/>
          <w:szCs w:val="16"/>
          <w:lang w:val="sv-SE"/>
        </w:rPr>
        <w:t xml:space="preserve">, </w:t>
      </w:r>
      <w:hyperlink r:id="rId3" w:history="1">
        <w:r w:rsidRPr="009A7C55">
          <w:rPr>
            <w:rFonts w:cs="Arial"/>
            <w:sz w:val="16"/>
            <w:szCs w:val="16"/>
            <w:lang w:val="sv-SE"/>
          </w:rPr>
          <w:t>Johnson JA</w:t>
        </w:r>
      </w:hyperlink>
      <w:r w:rsidRPr="009A7C55">
        <w:rPr>
          <w:rFonts w:cs="Arial"/>
          <w:sz w:val="16"/>
          <w:szCs w:val="16"/>
          <w:lang w:val="sv-SE"/>
        </w:rPr>
        <w:t xml:space="preserve">, </w:t>
      </w:r>
      <w:hyperlink r:id="rId4" w:history="1">
        <w:r w:rsidRPr="009A7C55">
          <w:rPr>
            <w:rFonts w:cs="Arial"/>
            <w:sz w:val="16"/>
            <w:szCs w:val="16"/>
            <w:lang w:val="sv-SE"/>
          </w:rPr>
          <w:t>Manns BJ</w:t>
        </w:r>
      </w:hyperlink>
      <w:r w:rsidRPr="009A7C55">
        <w:rPr>
          <w:rFonts w:cs="Arial"/>
          <w:sz w:val="16"/>
          <w:szCs w:val="16"/>
          <w:lang w:val="sv-SE"/>
        </w:rPr>
        <w:t xml:space="preserve">. </w:t>
      </w:r>
      <w:r w:rsidRPr="009A7C55">
        <w:rPr>
          <w:rFonts w:cs="Arial"/>
          <w:sz w:val="16"/>
          <w:szCs w:val="16"/>
          <w:lang w:val="en-US"/>
        </w:rPr>
        <w:t>The Impact of selecting high haemoglobin target level on health-related quality of life for patients with chronic kidney disease. Arch Int Medicine 2009; 169 (12): 1104-12.</w:t>
      </w:r>
    </w:p>
  </w:endnote>
  <w:endnote w:id="157">
    <w:p w:rsidR="00651852" w:rsidRPr="000323A9" w:rsidRDefault="00651852">
      <w:pPr>
        <w:pStyle w:val="Textonotaalfinal"/>
        <w:rPr>
          <w:sz w:val="16"/>
          <w:szCs w:val="16"/>
          <w:lang w:val="en-US"/>
        </w:rPr>
      </w:pPr>
      <w:r w:rsidRPr="000323A9">
        <w:rPr>
          <w:rStyle w:val="Refdenotaalfinal"/>
          <w:sz w:val="16"/>
          <w:szCs w:val="16"/>
        </w:rPr>
        <w:endnoteRef/>
      </w:r>
      <w:r w:rsidRPr="000323A9">
        <w:rPr>
          <w:sz w:val="16"/>
          <w:szCs w:val="16"/>
          <w:lang w:val="en-US"/>
        </w:rPr>
        <w:t>KDIGO Clinical Practice Guideline for Anemia in Chronic Kidney Disease  kidney Int Siuppl 2013; 279-335</w:t>
      </w:r>
    </w:p>
  </w:endnote>
  <w:endnote w:id="158">
    <w:p w:rsidR="00651852" w:rsidRPr="000323A9" w:rsidRDefault="00651852" w:rsidP="00A45F61">
      <w:pPr>
        <w:pStyle w:val="Textonotaalfinal"/>
        <w:rPr>
          <w:sz w:val="16"/>
          <w:szCs w:val="16"/>
        </w:rPr>
      </w:pPr>
      <w:r w:rsidRPr="009A7C55">
        <w:rPr>
          <w:rStyle w:val="Refdenotaalfinal"/>
          <w:rFonts w:cs="Arial"/>
          <w:sz w:val="16"/>
          <w:szCs w:val="16"/>
        </w:rPr>
        <w:endnoteRef/>
      </w:r>
      <w:r w:rsidRPr="000323A9">
        <w:rPr>
          <w:sz w:val="16"/>
          <w:szCs w:val="16"/>
          <w:lang w:val="en-US"/>
        </w:rPr>
        <w:t xml:space="preserve">Solomon SD, Uno H, Lewis EF, Eckhardt KW et al, for the Trial to Reduce Cardiovascular Events with Aranesp Therapy (TREAT) Investigators. Erythropoietic response and outcomes in kidney disease and type 2 diabetes. </w:t>
      </w:r>
      <w:r w:rsidRPr="000323A9">
        <w:rPr>
          <w:sz w:val="16"/>
          <w:szCs w:val="16"/>
        </w:rPr>
        <w:t>N Engl J Med 2010; 363: 1146–55.</w:t>
      </w:r>
    </w:p>
  </w:endnote>
  <w:endnote w:id="159">
    <w:p w:rsidR="00651852" w:rsidRPr="000323A9" w:rsidRDefault="00651852" w:rsidP="009A7C55">
      <w:pPr>
        <w:pStyle w:val="Textonotaalfinal"/>
        <w:rPr>
          <w:sz w:val="16"/>
          <w:szCs w:val="16"/>
        </w:rPr>
      </w:pPr>
      <w:r w:rsidRPr="000A6CBF">
        <w:rPr>
          <w:rStyle w:val="Refdenotaalfinal"/>
          <w:sz w:val="16"/>
          <w:szCs w:val="16"/>
        </w:rPr>
        <w:endnoteRef/>
      </w:r>
      <w:r w:rsidRPr="000323A9">
        <w:rPr>
          <w:sz w:val="16"/>
          <w:szCs w:val="16"/>
        </w:rPr>
        <w:t>Mejia N, Román-García  P, Miar AB, Tavira JB et al.  El complejo escenario de las alteraciones del metabolismo óseo y mineral en la enfermedad renal crónica. Nefrología 2011;31(5):514-9.</w:t>
      </w:r>
    </w:p>
  </w:endnote>
  <w:endnote w:id="160">
    <w:p w:rsidR="00651852" w:rsidRPr="009B3042" w:rsidRDefault="00651852">
      <w:pPr>
        <w:pStyle w:val="Textonotaalfinal"/>
      </w:pPr>
      <w:r w:rsidRPr="000323A9">
        <w:rPr>
          <w:rStyle w:val="Refdenotaalfinal"/>
          <w:sz w:val="16"/>
          <w:szCs w:val="16"/>
        </w:rPr>
        <w:endnoteRef/>
      </w:r>
      <w:r w:rsidRPr="000323A9">
        <w:rPr>
          <w:sz w:val="16"/>
          <w:szCs w:val="16"/>
        </w:rPr>
        <w:t xml:space="preserve">Guías SEN. Recomendaciones de la SEN para el manejo de las alteraciones del metabolismo óseo-mineral en los pacientes con enfermedad renal crónica (SEN-MM). </w:t>
      </w:r>
      <w:r w:rsidRPr="009B3042">
        <w:rPr>
          <w:sz w:val="16"/>
          <w:szCs w:val="16"/>
        </w:rPr>
        <w:t>Nefrología 2011; 31supl. 1): 1-32</w:t>
      </w:r>
    </w:p>
  </w:endnote>
  <w:endnote w:id="161">
    <w:p w:rsidR="00651852" w:rsidRPr="006A1815" w:rsidRDefault="00651852">
      <w:pPr>
        <w:pStyle w:val="Textonotaalfinal"/>
        <w:rPr>
          <w:rFonts w:cs="Arial"/>
          <w:sz w:val="16"/>
          <w:szCs w:val="16"/>
          <w:lang w:val="en-US"/>
        </w:rPr>
      </w:pPr>
      <w:r w:rsidRPr="006A1815">
        <w:rPr>
          <w:rStyle w:val="Refdenotaalfinal"/>
          <w:sz w:val="16"/>
          <w:szCs w:val="16"/>
        </w:rPr>
        <w:endnoteRef/>
      </w:r>
      <w:r w:rsidRPr="009B3042">
        <w:rPr>
          <w:rFonts w:cs="Arial"/>
          <w:sz w:val="16"/>
          <w:szCs w:val="16"/>
        </w:rPr>
        <w:t xml:space="preserve">Algoritmos en Nefrología. Trastornos hidroelectrolíticos y del equilibrio ácido-base.Coordinador  R Alcázar.  </w:t>
      </w:r>
      <w:r w:rsidRPr="006A1815">
        <w:rPr>
          <w:rFonts w:cs="Arial"/>
          <w:sz w:val="16"/>
          <w:szCs w:val="16"/>
          <w:lang w:val="en-US"/>
        </w:rPr>
        <w:t>SEN. Grupo Editorial Nefrología. Plus Medical. Barcelona 2011. ISBN  978-84-15134-20-6</w:t>
      </w:r>
    </w:p>
  </w:endnote>
  <w:endnote w:id="162">
    <w:p w:rsidR="00651852" w:rsidRDefault="00651852" w:rsidP="001845AD">
      <w:pPr>
        <w:pStyle w:val="Textonotaalfinal"/>
      </w:pPr>
      <w:r w:rsidRPr="009A7C55">
        <w:rPr>
          <w:rStyle w:val="Refdenotaalfinal"/>
          <w:rFonts w:cs="Arial"/>
          <w:sz w:val="16"/>
          <w:szCs w:val="16"/>
        </w:rPr>
        <w:endnoteRef/>
      </w:r>
      <w:r w:rsidRPr="00244544">
        <w:rPr>
          <w:rFonts w:cs="Arial"/>
          <w:sz w:val="16"/>
          <w:szCs w:val="16"/>
          <w:lang w:val="en-US"/>
        </w:rPr>
        <w:t xml:space="preserve">Overweight, obesity and intentional weight loss in chronic kidney disease: NHANES 1999–2006 S D Navaneethan, J P Kirwan, S Arrigain, M J Schreiber, A R Sehgal and J D Schold. </w:t>
      </w:r>
      <w:r w:rsidRPr="00D24A40">
        <w:rPr>
          <w:rFonts w:cs="Arial"/>
          <w:sz w:val="16"/>
          <w:szCs w:val="16"/>
        </w:rPr>
        <w:t>International Journal of Obesity , (31 January 2012) | doi:10.1038/ijo.2012.7.</w:t>
      </w:r>
    </w:p>
  </w:endnote>
  <w:endnote w:id="163">
    <w:p w:rsidR="00651852" w:rsidRDefault="00651852" w:rsidP="001845AD">
      <w:pPr>
        <w:pStyle w:val="Textonotaalfinal"/>
        <w:rPr>
          <w:rFonts w:cs="Arial"/>
          <w:sz w:val="16"/>
          <w:szCs w:val="16"/>
        </w:rPr>
      </w:pPr>
      <w:r w:rsidRPr="009A7C55">
        <w:rPr>
          <w:rStyle w:val="Refdenotaalfinal"/>
          <w:rFonts w:cs="Arial"/>
          <w:sz w:val="16"/>
          <w:szCs w:val="16"/>
        </w:rPr>
        <w:endnoteRef/>
      </w:r>
      <w:r w:rsidRPr="00843489">
        <w:rPr>
          <w:rFonts w:cs="Arial"/>
          <w:sz w:val="16"/>
          <w:szCs w:val="16"/>
        </w:rPr>
        <w:t>Dietas con bajo contenido proteico para la insuficiencia renal crónica en adultos no diabéticos, Biblioteca Cochrane Plus, 2008.</w:t>
      </w:r>
    </w:p>
    <w:p w:rsidR="00651852" w:rsidRDefault="00651852" w:rsidP="001845AD">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Frutiger-Bold">
    <w:altName w:val="Cambria"/>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52" w:rsidRDefault="00936BE3">
    <w:pPr>
      <w:pStyle w:val="Piedepgina"/>
      <w:jc w:val="right"/>
    </w:pPr>
    <w:fldSimple w:instr=" PAGE   \* MERGEFORMAT ">
      <w:r w:rsidR="00852CBE">
        <w:rPr>
          <w:noProof/>
        </w:rPr>
        <w:t>2</w:t>
      </w:r>
    </w:fldSimple>
  </w:p>
  <w:p w:rsidR="00651852" w:rsidRPr="00E713A1" w:rsidRDefault="00651852">
    <w:pPr>
      <w:pStyle w:val="Piedepgina"/>
      <w:rPr>
        <w:rFonts w:cs="Arial"/>
        <w:b/>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67" w:rsidRDefault="006F4467">
      <w:r>
        <w:separator/>
      </w:r>
    </w:p>
  </w:footnote>
  <w:footnote w:type="continuationSeparator" w:id="1">
    <w:p w:rsidR="006F4467" w:rsidRDefault="006F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52" w:rsidRPr="00470998" w:rsidRDefault="00651852" w:rsidP="00470998">
    <w:pPr>
      <w:pStyle w:val="Encabezado"/>
      <w:tabs>
        <w:tab w:val="clear" w:pos="8504"/>
        <w:tab w:val="right" w:pos="10065"/>
      </w:tabs>
      <w:jc w:val="right"/>
      <w:rPr>
        <w:rFonts w:ascii="Calibri" w:hAnsi="Calibri" w:cs="Calibri"/>
        <w:noProof/>
        <w:sz w:val="20"/>
        <w:szCs w:val="20"/>
      </w:rPr>
    </w:pPr>
    <w:r>
      <w:rPr>
        <w:noProof/>
      </w:rPr>
      <w:tab/>
    </w:r>
    <w:r>
      <w:rPr>
        <w:noProof/>
      </w:rPr>
      <w:tab/>
    </w:r>
    <w:r w:rsidRPr="00470998">
      <w:rPr>
        <w:rFonts w:ascii="Calibri" w:hAnsi="Calibri" w:cs="Calibri"/>
        <w:b/>
        <w:bCs/>
        <w:sz w:val="20"/>
        <w:szCs w:val="20"/>
      </w:rPr>
      <w:t xml:space="preserve">Documento de consenso sobre </w:t>
    </w:r>
    <w:smartTag w:uri="urn:schemas-microsoft-com:office:smarttags" w:element="PersonName">
      <w:smartTagPr>
        <w:attr w:name="ProductID" w:val="LA ENFERMEDAD RENAL"/>
      </w:smartTagPr>
      <w:r w:rsidRPr="00470998">
        <w:rPr>
          <w:rFonts w:ascii="Calibri" w:hAnsi="Calibri" w:cs="Calibri"/>
          <w:b/>
          <w:bCs/>
          <w:sz w:val="20"/>
          <w:szCs w:val="20"/>
        </w:rPr>
        <w:t>la Enfermedad Renal</w:t>
      </w:r>
    </w:smartTag>
    <w:r w:rsidRPr="00470998">
      <w:rPr>
        <w:rFonts w:ascii="Calibri" w:hAnsi="Calibri" w:cs="Calibri"/>
        <w:b/>
        <w:bCs/>
        <w:sz w:val="20"/>
        <w:szCs w:val="20"/>
      </w:rPr>
      <w:t xml:space="preserve"> C</w:t>
    </w:r>
    <w:r>
      <w:rPr>
        <w:rFonts w:ascii="Calibri" w:hAnsi="Calibri" w:cs="Calibri"/>
        <w:b/>
        <w:bCs/>
        <w:sz w:val="20"/>
        <w:szCs w:val="20"/>
      </w:rPr>
      <w:t>rónica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C0A1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894EE876"/>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5"/>
    <w:multiLevelType w:val="multilevel"/>
    <w:tmpl w:val="894EE877"/>
    <w:lvl w:ilvl="0">
      <w:numFmt w:val="bullet"/>
      <w:lvlText w:val="-"/>
      <w:lvlJc w:val="left"/>
      <w:pPr>
        <w:tabs>
          <w:tab w:val="num" w:pos="113"/>
        </w:tabs>
        <w:ind w:left="113"/>
      </w:pPr>
      <w:rPr>
        <w:rFonts w:hint="default"/>
        <w:position w:val="0"/>
      </w:rPr>
    </w:lvl>
    <w:lvl w:ilvl="1">
      <w:numFmt w:val="bullet"/>
      <w:lvlText w:val="•"/>
      <w:lvlJc w:val="left"/>
      <w:pPr>
        <w:tabs>
          <w:tab w:val="num" w:pos="113"/>
        </w:tabs>
        <w:ind w:left="113" w:firstLine="113"/>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6"/>
    <w:multiLevelType w:val="multilevel"/>
    <w:tmpl w:val="894EE878"/>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nsid w:val="00000007"/>
    <w:multiLevelType w:val="multilevel"/>
    <w:tmpl w:val="894EE879"/>
    <w:lvl w:ilvl="0">
      <w:numFmt w:val="bullet"/>
      <w:lvlText w:val="-"/>
      <w:lvlJc w:val="left"/>
      <w:pPr>
        <w:tabs>
          <w:tab w:val="num" w:pos="113"/>
        </w:tabs>
        <w:ind w:left="113"/>
      </w:pPr>
      <w:rPr>
        <w:rFonts w:hint="default"/>
        <w:position w:val="0"/>
      </w:rPr>
    </w:lvl>
    <w:lvl w:ilvl="1">
      <w:numFmt w:val="bullet"/>
      <w:lvlText w:val="•"/>
      <w:lvlJc w:val="left"/>
      <w:pPr>
        <w:tabs>
          <w:tab w:val="num" w:pos="113"/>
        </w:tabs>
        <w:ind w:left="113" w:firstLine="113"/>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5">
    <w:nsid w:val="00000008"/>
    <w:multiLevelType w:val="multilevel"/>
    <w:tmpl w:val="894EE87A"/>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6">
    <w:nsid w:val="0000000A"/>
    <w:multiLevelType w:val="multilevel"/>
    <w:tmpl w:val="894EE87C"/>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7">
    <w:nsid w:val="0000000C"/>
    <w:multiLevelType w:val="multilevel"/>
    <w:tmpl w:val="894EE87E"/>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8">
    <w:nsid w:val="0000000E"/>
    <w:multiLevelType w:val="multilevel"/>
    <w:tmpl w:val="894EE880"/>
    <w:lvl w:ilvl="0">
      <w:numFmt w:val="bullet"/>
      <w:lvlText w:val="-"/>
      <w:lvlJc w:val="left"/>
      <w:pPr>
        <w:tabs>
          <w:tab w:val="num" w:pos="113"/>
        </w:tabs>
        <w:ind w:left="11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9">
    <w:nsid w:val="01960D70"/>
    <w:multiLevelType w:val="multilevel"/>
    <w:tmpl w:val="BEA65E60"/>
    <w:lvl w:ilvl="0">
      <w:start w:val="1"/>
      <w:numFmt w:val="decimal"/>
      <w:pStyle w:val="Ttulo1"/>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0">
    <w:nsid w:val="0D0F220A"/>
    <w:multiLevelType w:val="hybridMultilevel"/>
    <w:tmpl w:val="22240314"/>
    <w:lvl w:ilvl="0" w:tplc="0C0A0005">
      <w:start w:val="1"/>
      <w:numFmt w:val="bullet"/>
      <w:lvlText w:val=""/>
      <w:lvlJc w:val="left"/>
      <w:pPr>
        <w:ind w:left="1713" w:hanging="360"/>
      </w:pPr>
      <w:rPr>
        <w:rFonts w:ascii="Wingdings" w:hAnsi="Wingdings" w:hint="default"/>
      </w:rPr>
    </w:lvl>
    <w:lvl w:ilvl="1" w:tplc="0C0A0003">
      <w:start w:val="1"/>
      <w:numFmt w:val="bullet"/>
      <w:lvlText w:val="o"/>
      <w:lvlJc w:val="left"/>
      <w:pPr>
        <w:ind w:left="2433" w:hanging="360"/>
      </w:pPr>
      <w:rPr>
        <w:rFonts w:ascii="Courier New" w:hAnsi="Courier New" w:hint="default"/>
      </w:rPr>
    </w:lvl>
    <w:lvl w:ilvl="2" w:tplc="E4C889A2">
      <w:numFmt w:val="bullet"/>
      <w:lvlText w:val="-"/>
      <w:lvlJc w:val="left"/>
      <w:pPr>
        <w:ind w:left="3153" w:hanging="360"/>
      </w:pPr>
      <w:rPr>
        <w:rFonts w:ascii="Arial" w:eastAsia="Batang" w:hAnsi="Arial"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1">
    <w:nsid w:val="0F9B58E0"/>
    <w:multiLevelType w:val="hybridMultilevel"/>
    <w:tmpl w:val="FEE41200"/>
    <w:lvl w:ilvl="0" w:tplc="0C0A0017">
      <w:start w:val="1"/>
      <w:numFmt w:val="lowerLetter"/>
      <w:lvlText w:val="%1)"/>
      <w:lvlJc w:val="left"/>
      <w:pPr>
        <w:ind w:left="1353" w:hanging="360"/>
      </w:pPr>
      <w:rPr>
        <w:rFonts w:cs="Times New Roman"/>
      </w:rPr>
    </w:lvl>
    <w:lvl w:ilvl="1" w:tplc="0C0A0019" w:tentative="1">
      <w:start w:val="1"/>
      <w:numFmt w:val="lowerLetter"/>
      <w:lvlText w:val="%2."/>
      <w:lvlJc w:val="left"/>
      <w:pPr>
        <w:ind w:left="2073" w:hanging="360"/>
      </w:pPr>
      <w:rPr>
        <w:rFonts w:cs="Times New Roman"/>
      </w:rPr>
    </w:lvl>
    <w:lvl w:ilvl="2" w:tplc="0C0A001B" w:tentative="1">
      <w:start w:val="1"/>
      <w:numFmt w:val="lowerRoman"/>
      <w:lvlText w:val="%3."/>
      <w:lvlJc w:val="right"/>
      <w:pPr>
        <w:ind w:left="2793" w:hanging="180"/>
      </w:pPr>
      <w:rPr>
        <w:rFonts w:cs="Times New Roman"/>
      </w:rPr>
    </w:lvl>
    <w:lvl w:ilvl="3" w:tplc="0C0A000F" w:tentative="1">
      <w:start w:val="1"/>
      <w:numFmt w:val="decimal"/>
      <w:lvlText w:val="%4."/>
      <w:lvlJc w:val="left"/>
      <w:pPr>
        <w:ind w:left="3513" w:hanging="360"/>
      </w:pPr>
      <w:rPr>
        <w:rFonts w:cs="Times New Roman"/>
      </w:rPr>
    </w:lvl>
    <w:lvl w:ilvl="4" w:tplc="0C0A0019" w:tentative="1">
      <w:start w:val="1"/>
      <w:numFmt w:val="lowerLetter"/>
      <w:lvlText w:val="%5."/>
      <w:lvlJc w:val="left"/>
      <w:pPr>
        <w:ind w:left="4233" w:hanging="360"/>
      </w:pPr>
      <w:rPr>
        <w:rFonts w:cs="Times New Roman"/>
      </w:rPr>
    </w:lvl>
    <w:lvl w:ilvl="5" w:tplc="0C0A001B" w:tentative="1">
      <w:start w:val="1"/>
      <w:numFmt w:val="lowerRoman"/>
      <w:lvlText w:val="%6."/>
      <w:lvlJc w:val="right"/>
      <w:pPr>
        <w:ind w:left="4953" w:hanging="180"/>
      </w:pPr>
      <w:rPr>
        <w:rFonts w:cs="Times New Roman"/>
      </w:rPr>
    </w:lvl>
    <w:lvl w:ilvl="6" w:tplc="0C0A000F" w:tentative="1">
      <w:start w:val="1"/>
      <w:numFmt w:val="decimal"/>
      <w:lvlText w:val="%7."/>
      <w:lvlJc w:val="left"/>
      <w:pPr>
        <w:ind w:left="5673" w:hanging="360"/>
      </w:pPr>
      <w:rPr>
        <w:rFonts w:cs="Times New Roman"/>
      </w:rPr>
    </w:lvl>
    <w:lvl w:ilvl="7" w:tplc="0C0A0019" w:tentative="1">
      <w:start w:val="1"/>
      <w:numFmt w:val="lowerLetter"/>
      <w:lvlText w:val="%8."/>
      <w:lvlJc w:val="left"/>
      <w:pPr>
        <w:ind w:left="6393" w:hanging="360"/>
      </w:pPr>
      <w:rPr>
        <w:rFonts w:cs="Times New Roman"/>
      </w:rPr>
    </w:lvl>
    <w:lvl w:ilvl="8" w:tplc="0C0A001B" w:tentative="1">
      <w:start w:val="1"/>
      <w:numFmt w:val="lowerRoman"/>
      <w:lvlText w:val="%9."/>
      <w:lvlJc w:val="right"/>
      <w:pPr>
        <w:ind w:left="7113" w:hanging="180"/>
      </w:pPr>
      <w:rPr>
        <w:rFonts w:cs="Times New Roman"/>
      </w:rPr>
    </w:lvl>
  </w:abstractNum>
  <w:abstractNum w:abstractNumId="12">
    <w:nsid w:val="125D2467"/>
    <w:multiLevelType w:val="hybridMultilevel"/>
    <w:tmpl w:val="913E5D92"/>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nsid w:val="17067849"/>
    <w:multiLevelType w:val="hybridMultilevel"/>
    <w:tmpl w:val="DA069ED6"/>
    <w:lvl w:ilvl="0" w:tplc="0C0A0005">
      <w:start w:val="1"/>
      <w:numFmt w:val="bullet"/>
      <w:lvlText w:val=""/>
      <w:lvlJc w:val="left"/>
      <w:pPr>
        <w:ind w:left="1713" w:hanging="360"/>
      </w:pPr>
      <w:rPr>
        <w:rFonts w:ascii="Wingdings" w:hAnsi="Wingdings" w:hint="default"/>
      </w:rPr>
    </w:lvl>
    <w:lvl w:ilvl="1" w:tplc="0C0A0003">
      <w:start w:val="1"/>
      <w:numFmt w:val="bullet"/>
      <w:lvlText w:val="o"/>
      <w:lvlJc w:val="left"/>
      <w:pPr>
        <w:ind w:left="2433" w:hanging="360"/>
      </w:pPr>
      <w:rPr>
        <w:rFonts w:ascii="Courier New" w:hAnsi="Courier New" w:hint="default"/>
      </w:rPr>
    </w:lvl>
    <w:lvl w:ilvl="2" w:tplc="0C0A0005">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nsid w:val="19394C07"/>
    <w:multiLevelType w:val="hybridMultilevel"/>
    <w:tmpl w:val="EB361ED4"/>
    <w:lvl w:ilvl="0" w:tplc="0C0A000D">
      <w:start w:val="1"/>
      <w:numFmt w:val="bullet"/>
      <w:lvlText w:val=""/>
      <w:lvlJc w:val="left"/>
      <w:pPr>
        <w:ind w:left="1680" w:hanging="360"/>
      </w:pPr>
      <w:rPr>
        <w:rFonts w:ascii="Wingdings" w:hAnsi="Wingdings" w:hint="default"/>
      </w:rPr>
    </w:lvl>
    <w:lvl w:ilvl="1" w:tplc="0C0A0003">
      <w:start w:val="1"/>
      <w:numFmt w:val="bullet"/>
      <w:lvlText w:val="o"/>
      <w:lvlJc w:val="left"/>
      <w:pPr>
        <w:ind w:left="2717" w:hanging="360"/>
      </w:pPr>
      <w:rPr>
        <w:rFonts w:ascii="Courier New" w:hAnsi="Courier New" w:hint="default"/>
      </w:rPr>
    </w:lvl>
    <w:lvl w:ilvl="2" w:tplc="0C0A0005" w:tentative="1">
      <w:start w:val="1"/>
      <w:numFmt w:val="bullet"/>
      <w:lvlText w:val=""/>
      <w:lvlJc w:val="left"/>
      <w:pPr>
        <w:ind w:left="3437" w:hanging="360"/>
      </w:pPr>
      <w:rPr>
        <w:rFonts w:ascii="Wingdings" w:hAnsi="Wingdings" w:hint="default"/>
      </w:rPr>
    </w:lvl>
    <w:lvl w:ilvl="3" w:tplc="0C0A0001" w:tentative="1">
      <w:start w:val="1"/>
      <w:numFmt w:val="bullet"/>
      <w:lvlText w:val=""/>
      <w:lvlJc w:val="left"/>
      <w:pPr>
        <w:ind w:left="4157" w:hanging="360"/>
      </w:pPr>
      <w:rPr>
        <w:rFonts w:ascii="Symbol" w:hAnsi="Symbol" w:hint="default"/>
      </w:rPr>
    </w:lvl>
    <w:lvl w:ilvl="4" w:tplc="0C0A0003" w:tentative="1">
      <w:start w:val="1"/>
      <w:numFmt w:val="bullet"/>
      <w:lvlText w:val="o"/>
      <w:lvlJc w:val="left"/>
      <w:pPr>
        <w:ind w:left="4877" w:hanging="360"/>
      </w:pPr>
      <w:rPr>
        <w:rFonts w:ascii="Courier New" w:hAnsi="Courier New" w:hint="default"/>
      </w:rPr>
    </w:lvl>
    <w:lvl w:ilvl="5" w:tplc="0C0A0005" w:tentative="1">
      <w:start w:val="1"/>
      <w:numFmt w:val="bullet"/>
      <w:lvlText w:val=""/>
      <w:lvlJc w:val="left"/>
      <w:pPr>
        <w:ind w:left="5597" w:hanging="360"/>
      </w:pPr>
      <w:rPr>
        <w:rFonts w:ascii="Wingdings" w:hAnsi="Wingdings" w:hint="default"/>
      </w:rPr>
    </w:lvl>
    <w:lvl w:ilvl="6" w:tplc="0C0A0001" w:tentative="1">
      <w:start w:val="1"/>
      <w:numFmt w:val="bullet"/>
      <w:lvlText w:val=""/>
      <w:lvlJc w:val="left"/>
      <w:pPr>
        <w:ind w:left="6317" w:hanging="360"/>
      </w:pPr>
      <w:rPr>
        <w:rFonts w:ascii="Symbol" w:hAnsi="Symbol" w:hint="default"/>
      </w:rPr>
    </w:lvl>
    <w:lvl w:ilvl="7" w:tplc="0C0A0003" w:tentative="1">
      <w:start w:val="1"/>
      <w:numFmt w:val="bullet"/>
      <w:lvlText w:val="o"/>
      <w:lvlJc w:val="left"/>
      <w:pPr>
        <w:ind w:left="7037" w:hanging="360"/>
      </w:pPr>
      <w:rPr>
        <w:rFonts w:ascii="Courier New" w:hAnsi="Courier New" w:hint="default"/>
      </w:rPr>
    </w:lvl>
    <w:lvl w:ilvl="8" w:tplc="0C0A0005" w:tentative="1">
      <w:start w:val="1"/>
      <w:numFmt w:val="bullet"/>
      <w:lvlText w:val=""/>
      <w:lvlJc w:val="left"/>
      <w:pPr>
        <w:ind w:left="7757" w:hanging="360"/>
      </w:pPr>
      <w:rPr>
        <w:rFonts w:ascii="Wingdings" w:hAnsi="Wingdings" w:hint="default"/>
      </w:rPr>
    </w:lvl>
  </w:abstractNum>
  <w:abstractNum w:abstractNumId="15">
    <w:nsid w:val="1F040329"/>
    <w:multiLevelType w:val="hybridMultilevel"/>
    <w:tmpl w:val="B08EEEC8"/>
    <w:lvl w:ilvl="0" w:tplc="0C0A000D">
      <w:start w:val="1"/>
      <w:numFmt w:val="bullet"/>
      <w:lvlText w:val=""/>
      <w:lvlJc w:val="left"/>
      <w:pPr>
        <w:ind w:left="1713" w:hanging="360"/>
      </w:pPr>
      <w:rPr>
        <w:rFonts w:ascii="Wingdings" w:hAnsi="Wingdings" w:hint="default"/>
      </w:rPr>
    </w:lvl>
    <w:lvl w:ilvl="1" w:tplc="0C0A000D">
      <w:start w:val="1"/>
      <w:numFmt w:val="bullet"/>
      <w:lvlText w:val=""/>
      <w:lvlJc w:val="left"/>
      <w:pPr>
        <w:ind w:left="2433" w:hanging="360"/>
      </w:pPr>
      <w:rPr>
        <w:rFonts w:ascii="Wingdings" w:hAnsi="Wingding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nsid w:val="220373CA"/>
    <w:multiLevelType w:val="hybridMultilevel"/>
    <w:tmpl w:val="DD2EA66E"/>
    <w:lvl w:ilvl="0" w:tplc="0C0A000D">
      <w:start w:val="1"/>
      <w:numFmt w:val="bullet"/>
      <w:lvlText w:val=""/>
      <w:lvlJc w:val="left"/>
      <w:pPr>
        <w:ind w:left="1778" w:hanging="360"/>
      </w:pPr>
      <w:rPr>
        <w:rFonts w:ascii="Wingdings" w:hAnsi="Wingdings" w:hint="default"/>
      </w:rPr>
    </w:lvl>
    <w:lvl w:ilvl="1" w:tplc="0C0A0003">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nsid w:val="29986DE6"/>
    <w:multiLevelType w:val="hybridMultilevel"/>
    <w:tmpl w:val="D276B06A"/>
    <w:lvl w:ilvl="0" w:tplc="0C0A000D">
      <w:start w:val="1"/>
      <w:numFmt w:val="bullet"/>
      <w:lvlText w:val=""/>
      <w:lvlJc w:val="left"/>
      <w:pPr>
        <w:ind w:left="1353" w:hanging="360"/>
      </w:pPr>
      <w:rPr>
        <w:rFonts w:ascii="Wingdings" w:hAnsi="Wingdings" w:hint="default"/>
      </w:rPr>
    </w:lvl>
    <w:lvl w:ilvl="1" w:tplc="0C0A0003">
      <w:start w:val="1"/>
      <w:numFmt w:val="bullet"/>
      <w:lvlText w:val="o"/>
      <w:lvlJc w:val="left"/>
      <w:pPr>
        <w:ind w:left="2073" w:hanging="360"/>
      </w:pPr>
      <w:rPr>
        <w:rFonts w:ascii="Courier New" w:hAnsi="Courier New" w:hint="default"/>
      </w:rPr>
    </w:lvl>
    <w:lvl w:ilvl="2" w:tplc="0C0A0005">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8">
    <w:nsid w:val="2999182C"/>
    <w:multiLevelType w:val="hybridMultilevel"/>
    <w:tmpl w:val="1E0ABACA"/>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9">
    <w:nsid w:val="37416A7C"/>
    <w:multiLevelType w:val="hybridMultilevel"/>
    <w:tmpl w:val="E4AC2D42"/>
    <w:lvl w:ilvl="0" w:tplc="0C0A000D">
      <w:start w:val="1"/>
      <w:numFmt w:val="bullet"/>
      <w:lvlText w:val=""/>
      <w:lvlJc w:val="left"/>
      <w:pPr>
        <w:ind w:left="1997" w:hanging="360"/>
      </w:pPr>
      <w:rPr>
        <w:rFonts w:ascii="Wingdings" w:hAnsi="Wingdings" w:hint="default"/>
      </w:rPr>
    </w:lvl>
    <w:lvl w:ilvl="1" w:tplc="0C0A000D">
      <w:start w:val="1"/>
      <w:numFmt w:val="bullet"/>
      <w:lvlText w:val=""/>
      <w:lvlJc w:val="left"/>
      <w:pPr>
        <w:ind w:left="2717" w:hanging="360"/>
      </w:pPr>
      <w:rPr>
        <w:rFonts w:ascii="Wingdings" w:hAnsi="Wingdings" w:hint="default"/>
      </w:rPr>
    </w:lvl>
    <w:lvl w:ilvl="2" w:tplc="0C0A0005" w:tentative="1">
      <w:start w:val="1"/>
      <w:numFmt w:val="bullet"/>
      <w:lvlText w:val=""/>
      <w:lvlJc w:val="left"/>
      <w:pPr>
        <w:ind w:left="3437" w:hanging="360"/>
      </w:pPr>
      <w:rPr>
        <w:rFonts w:ascii="Wingdings" w:hAnsi="Wingdings" w:hint="default"/>
      </w:rPr>
    </w:lvl>
    <w:lvl w:ilvl="3" w:tplc="0C0A0001" w:tentative="1">
      <w:start w:val="1"/>
      <w:numFmt w:val="bullet"/>
      <w:lvlText w:val=""/>
      <w:lvlJc w:val="left"/>
      <w:pPr>
        <w:ind w:left="4157" w:hanging="360"/>
      </w:pPr>
      <w:rPr>
        <w:rFonts w:ascii="Symbol" w:hAnsi="Symbol" w:hint="default"/>
      </w:rPr>
    </w:lvl>
    <w:lvl w:ilvl="4" w:tplc="0C0A0003" w:tentative="1">
      <w:start w:val="1"/>
      <w:numFmt w:val="bullet"/>
      <w:lvlText w:val="o"/>
      <w:lvlJc w:val="left"/>
      <w:pPr>
        <w:ind w:left="4877" w:hanging="360"/>
      </w:pPr>
      <w:rPr>
        <w:rFonts w:ascii="Courier New" w:hAnsi="Courier New" w:hint="default"/>
      </w:rPr>
    </w:lvl>
    <w:lvl w:ilvl="5" w:tplc="0C0A0005" w:tentative="1">
      <w:start w:val="1"/>
      <w:numFmt w:val="bullet"/>
      <w:lvlText w:val=""/>
      <w:lvlJc w:val="left"/>
      <w:pPr>
        <w:ind w:left="5597" w:hanging="360"/>
      </w:pPr>
      <w:rPr>
        <w:rFonts w:ascii="Wingdings" w:hAnsi="Wingdings" w:hint="default"/>
      </w:rPr>
    </w:lvl>
    <w:lvl w:ilvl="6" w:tplc="0C0A0001" w:tentative="1">
      <w:start w:val="1"/>
      <w:numFmt w:val="bullet"/>
      <w:lvlText w:val=""/>
      <w:lvlJc w:val="left"/>
      <w:pPr>
        <w:ind w:left="6317" w:hanging="360"/>
      </w:pPr>
      <w:rPr>
        <w:rFonts w:ascii="Symbol" w:hAnsi="Symbol" w:hint="default"/>
      </w:rPr>
    </w:lvl>
    <w:lvl w:ilvl="7" w:tplc="0C0A0003" w:tentative="1">
      <w:start w:val="1"/>
      <w:numFmt w:val="bullet"/>
      <w:lvlText w:val="o"/>
      <w:lvlJc w:val="left"/>
      <w:pPr>
        <w:ind w:left="7037" w:hanging="360"/>
      </w:pPr>
      <w:rPr>
        <w:rFonts w:ascii="Courier New" w:hAnsi="Courier New" w:hint="default"/>
      </w:rPr>
    </w:lvl>
    <w:lvl w:ilvl="8" w:tplc="0C0A0005" w:tentative="1">
      <w:start w:val="1"/>
      <w:numFmt w:val="bullet"/>
      <w:lvlText w:val=""/>
      <w:lvlJc w:val="left"/>
      <w:pPr>
        <w:ind w:left="7757" w:hanging="360"/>
      </w:pPr>
      <w:rPr>
        <w:rFonts w:ascii="Wingdings" w:hAnsi="Wingdings" w:hint="default"/>
      </w:rPr>
    </w:lvl>
  </w:abstractNum>
  <w:abstractNum w:abstractNumId="20">
    <w:nsid w:val="412D24E4"/>
    <w:multiLevelType w:val="hybridMultilevel"/>
    <w:tmpl w:val="EE863370"/>
    <w:lvl w:ilvl="0" w:tplc="0C0A000F">
      <w:start w:val="1"/>
      <w:numFmt w:val="decimal"/>
      <w:lvlText w:val="%1."/>
      <w:lvlJc w:val="left"/>
      <w:pPr>
        <w:ind w:left="2138" w:hanging="360"/>
      </w:pPr>
      <w:rPr>
        <w:rFonts w:cs="Times New Roman"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nsid w:val="45226861"/>
    <w:multiLevelType w:val="hybridMultilevel"/>
    <w:tmpl w:val="29CA866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2">
    <w:nsid w:val="45C43F7A"/>
    <w:multiLevelType w:val="hybridMultilevel"/>
    <w:tmpl w:val="D53C1388"/>
    <w:lvl w:ilvl="0" w:tplc="0C0A000D">
      <w:start w:val="1"/>
      <w:numFmt w:val="bullet"/>
      <w:lvlText w:val=""/>
      <w:lvlJc w:val="left"/>
      <w:pPr>
        <w:ind w:left="1778" w:hanging="360"/>
      </w:pPr>
      <w:rPr>
        <w:rFonts w:ascii="Wingdings" w:hAnsi="Wingdings" w:hint="default"/>
      </w:rPr>
    </w:lvl>
    <w:lvl w:ilvl="1" w:tplc="0C0A0005">
      <w:start w:val="1"/>
      <w:numFmt w:val="bullet"/>
      <w:lvlText w:val=""/>
      <w:lvlJc w:val="left"/>
      <w:pPr>
        <w:ind w:left="2498" w:hanging="360"/>
      </w:pPr>
      <w:rPr>
        <w:rFonts w:ascii="Wingdings" w:hAnsi="Wingdings"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3">
    <w:nsid w:val="53582865"/>
    <w:multiLevelType w:val="hybridMultilevel"/>
    <w:tmpl w:val="DA405E2E"/>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4">
    <w:nsid w:val="58631B8D"/>
    <w:multiLevelType w:val="hybridMultilevel"/>
    <w:tmpl w:val="FE7CA930"/>
    <w:lvl w:ilvl="0" w:tplc="0C0A000D">
      <w:start w:val="1"/>
      <w:numFmt w:val="bullet"/>
      <w:lvlText w:val=""/>
      <w:lvlJc w:val="left"/>
      <w:pPr>
        <w:ind w:left="1713" w:hanging="360"/>
      </w:pPr>
      <w:rPr>
        <w:rFonts w:ascii="Wingdings" w:hAnsi="Wingdings" w:hint="default"/>
      </w:rPr>
    </w:lvl>
    <w:lvl w:ilvl="1" w:tplc="0C0A0005">
      <w:start w:val="1"/>
      <w:numFmt w:val="bullet"/>
      <w:lvlText w:val=""/>
      <w:lvlJc w:val="left"/>
      <w:pPr>
        <w:ind w:left="2433" w:hanging="360"/>
      </w:pPr>
      <w:rPr>
        <w:rFonts w:ascii="Wingdings" w:hAnsi="Wingding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5">
    <w:nsid w:val="65F66613"/>
    <w:multiLevelType w:val="hybridMultilevel"/>
    <w:tmpl w:val="E0D4B0AA"/>
    <w:lvl w:ilvl="0" w:tplc="F9AE0E02">
      <w:start w:val="1"/>
      <w:numFmt w:val="lowerLetter"/>
      <w:lvlText w:val="%1)"/>
      <w:lvlJc w:val="left"/>
      <w:pPr>
        <w:ind w:left="1353" w:hanging="360"/>
      </w:pPr>
      <w:rPr>
        <w:rFonts w:cs="Times New Roman"/>
      </w:rPr>
    </w:lvl>
    <w:lvl w:ilvl="1" w:tplc="0C0A0019" w:tentative="1">
      <w:start w:val="1"/>
      <w:numFmt w:val="lowerLetter"/>
      <w:lvlText w:val="%2."/>
      <w:lvlJc w:val="left"/>
      <w:pPr>
        <w:ind w:left="2073" w:hanging="360"/>
      </w:pPr>
      <w:rPr>
        <w:rFonts w:cs="Times New Roman"/>
      </w:rPr>
    </w:lvl>
    <w:lvl w:ilvl="2" w:tplc="0C0A001B" w:tentative="1">
      <w:start w:val="1"/>
      <w:numFmt w:val="lowerRoman"/>
      <w:lvlText w:val="%3."/>
      <w:lvlJc w:val="right"/>
      <w:pPr>
        <w:ind w:left="2793" w:hanging="180"/>
      </w:pPr>
      <w:rPr>
        <w:rFonts w:cs="Times New Roman"/>
      </w:rPr>
    </w:lvl>
    <w:lvl w:ilvl="3" w:tplc="0C0A000F" w:tentative="1">
      <w:start w:val="1"/>
      <w:numFmt w:val="decimal"/>
      <w:lvlText w:val="%4."/>
      <w:lvlJc w:val="left"/>
      <w:pPr>
        <w:ind w:left="3513" w:hanging="360"/>
      </w:pPr>
      <w:rPr>
        <w:rFonts w:cs="Times New Roman"/>
      </w:rPr>
    </w:lvl>
    <w:lvl w:ilvl="4" w:tplc="0C0A0019" w:tentative="1">
      <w:start w:val="1"/>
      <w:numFmt w:val="lowerLetter"/>
      <w:lvlText w:val="%5."/>
      <w:lvlJc w:val="left"/>
      <w:pPr>
        <w:ind w:left="4233" w:hanging="360"/>
      </w:pPr>
      <w:rPr>
        <w:rFonts w:cs="Times New Roman"/>
      </w:rPr>
    </w:lvl>
    <w:lvl w:ilvl="5" w:tplc="0C0A001B" w:tentative="1">
      <w:start w:val="1"/>
      <w:numFmt w:val="lowerRoman"/>
      <w:lvlText w:val="%6."/>
      <w:lvlJc w:val="right"/>
      <w:pPr>
        <w:ind w:left="4953" w:hanging="180"/>
      </w:pPr>
      <w:rPr>
        <w:rFonts w:cs="Times New Roman"/>
      </w:rPr>
    </w:lvl>
    <w:lvl w:ilvl="6" w:tplc="0C0A000F" w:tentative="1">
      <w:start w:val="1"/>
      <w:numFmt w:val="decimal"/>
      <w:lvlText w:val="%7."/>
      <w:lvlJc w:val="left"/>
      <w:pPr>
        <w:ind w:left="5673" w:hanging="360"/>
      </w:pPr>
      <w:rPr>
        <w:rFonts w:cs="Times New Roman"/>
      </w:rPr>
    </w:lvl>
    <w:lvl w:ilvl="7" w:tplc="0C0A0019" w:tentative="1">
      <w:start w:val="1"/>
      <w:numFmt w:val="lowerLetter"/>
      <w:lvlText w:val="%8."/>
      <w:lvlJc w:val="left"/>
      <w:pPr>
        <w:ind w:left="6393" w:hanging="360"/>
      </w:pPr>
      <w:rPr>
        <w:rFonts w:cs="Times New Roman"/>
      </w:rPr>
    </w:lvl>
    <w:lvl w:ilvl="8" w:tplc="0C0A001B" w:tentative="1">
      <w:start w:val="1"/>
      <w:numFmt w:val="lowerRoman"/>
      <w:lvlText w:val="%9."/>
      <w:lvlJc w:val="right"/>
      <w:pPr>
        <w:ind w:left="7113" w:hanging="180"/>
      </w:pPr>
      <w:rPr>
        <w:rFonts w:cs="Times New Roman"/>
      </w:rPr>
    </w:lvl>
  </w:abstractNum>
  <w:abstractNum w:abstractNumId="26">
    <w:nsid w:val="67F4553A"/>
    <w:multiLevelType w:val="hybridMultilevel"/>
    <w:tmpl w:val="C0063B58"/>
    <w:lvl w:ilvl="0" w:tplc="0C0A000D">
      <w:start w:val="1"/>
      <w:numFmt w:val="bullet"/>
      <w:lvlText w:val=""/>
      <w:lvlJc w:val="left"/>
      <w:pPr>
        <w:ind w:left="1778" w:hanging="360"/>
      </w:pPr>
      <w:rPr>
        <w:rFonts w:ascii="Wingdings" w:hAnsi="Wingdings" w:hint="default"/>
      </w:rPr>
    </w:lvl>
    <w:lvl w:ilvl="1" w:tplc="0C0A000D">
      <w:start w:val="1"/>
      <w:numFmt w:val="bullet"/>
      <w:lvlText w:val=""/>
      <w:lvlJc w:val="left"/>
      <w:pPr>
        <w:ind w:left="2498" w:hanging="360"/>
      </w:pPr>
      <w:rPr>
        <w:rFonts w:ascii="Wingdings" w:hAnsi="Wingdings"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7">
    <w:nsid w:val="68025F55"/>
    <w:multiLevelType w:val="hybridMultilevel"/>
    <w:tmpl w:val="022824BE"/>
    <w:lvl w:ilvl="0" w:tplc="0C0A0005">
      <w:start w:val="1"/>
      <w:numFmt w:val="bullet"/>
      <w:lvlText w:val=""/>
      <w:lvlJc w:val="left"/>
      <w:pPr>
        <w:ind w:left="1778" w:hanging="360"/>
      </w:pPr>
      <w:rPr>
        <w:rFonts w:ascii="Wingdings" w:hAnsi="Wingdings" w:hint="default"/>
      </w:rPr>
    </w:lvl>
    <w:lvl w:ilvl="1" w:tplc="0C0A0005">
      <w:start w:val="1"/>
      <w:numFmt w:val="bullet"/>
      <w:lvlText w:val=""/>
      <w:lvlJc w:val="left"/>
      <w:pPr>
        <w:ind w:left="2498" w:hanging="360"/>
      </w:pPr>
      <w:rPr>
        <w:rFonts w:ascii="Wingdings" w:hAnsi="Wingdings" w:hint="default"/>
      </w:rPr>
    </w:lvl>
    <w:lvl w:ilvl="2" w:tplc="F488C25A">
      <w:start w:val="30"/>
      <w:numFmt w:val="bullet"/>
      <w:lvlText w:val=""/>
      <w:lvlJc w:val="left"/>
      <w:pPr>
        <w:ind w:left="3218" w:hanging="360"/>
      </w:pPr>
      <w:rPr>
        <w:rFonts w:ascii="Wingdings" w:eastAsia="Times New Roman"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nsid w:val="68695899"/>
    <w:multiLevelType w:val="hybridMultilevel"/>
    <w:tmpl w:val="60A4EE54"/>
    <w:lvl w:ilvl="0" w:tplc="0C0A0001">
      <w:start w:val="1"/>
      <w:numFmt w:val="bullet"/>
      <w:lvlText w:val=""/>
      <w:lvlJc w:val="left"/>
      <w:pPr>
        <w:ind w:left="3694" w:hanging="360"/>
      </w:pPr>
      <w:rPr>
        <w:rFonts w:ascii="Symbol" w:hAnsi="Symbol" w:hint="default"/>
      </w:rPr>
    </w:lvl>
    <w:lvl w:ilvl="1" w:tplc="0C0A0003" w:tentative="1">
      <w:start w:val="1"/>
      <w:numFmt w:val="bullet"/>
      <w:lvlText w:val="o"/>
      <w:lvlJc w:val="left"/>
      <w:pPr>
        <w:ind w:left="4414" w:hanging="360"/>
      </w:pPr>
      <w:rPr>
        <w:rFonts w:ascii="Courier New" w:hAnsi="Courier New" w:hint="default"/>
      </w:rPr>
    </w:lvl>
    <w:lvl w:ilvl="2" w:tplc="0C0A0005" w:tentative="1">
      <w:start w:val="1"/>
      <w:numFmt w:val="bullet"/>
      <w:lvlText w:val=""/>
      <w:lvlJc w:val="left"/>
      <w:pPr>
        <w:ind w:left="5134" w:hanging="360"/>
      </w:pPr>
      <w:rPr>
        <w:rFonts w:ascii="Wingdings" w:hAnsi="Wingdings" w:hint="default"/>
      </w:rPr>
    </w:lvl>
    <w:lvl w:ilvl="3" w:tplc="0C0A0001" w:tentative="1">
      <w:start w:val="1"/>
      <w:numFmt w:val="bullet"/>
      <w:lvlText w:val=""/>
      <w:lvlJc w:val="left"/>
      <w:pPr>
        <w:ind w:left="5854" w:hanging="360"/>
      </w:pPr>
      <w:rPr>
        <w:rFonts w:ascii="Symbol" w:hAnsi="Symbol" w:hint="default"/>
      </w:rPr>
    </w:lvl>
    <w:lvl w:ilvl="4" w:tplc="0C0A0003" w:tentative="1">
      <w:start w:val="1"/>
      <w:numFmt w:val="bullet"/>
      <w:lvlText w:val="o"/>
      <w:lvlJc w:val="left"/>
      <w:pPr>
        <w:ind w:left="6574" w:hanging="360"/>
      </w:pPr>
      <w:rPr>
        <w:rFonts w:ascii="Courier New" w:hAnsi="Courier New" w:hint="default"/>
      </w:rPr>
    </w:lvl>
    <w:lvl w:ilvl="5" w:tplc="0C0A0005" w:tentative="1">
      <w:start w:val="1"/>
      <w:numFmt w:val="bullet"/>
      <w:lvlText w:val=""/>
      <w:lvlJc w:val="left"/>
      <w:pPr>
        <w:ind w:left="7294" w:hanging="360"/>
      </w:pPr>
      <w:rPr>
        <w:rFonts w:ascii="Wingdings" w:hAnsi="Wingdings" w:hint="default"/>
      </w:rPr>
    </w:lvl>
    <w:lvl w:ilvl="6" w:tplc="0C0A0001" w:tentative="1">
      <w:start w:val="1"/>
      <w:numFmt w:val="bullet"/>
      <w:lvlText w:val=""/>
      <w:lvlJc w:val="left"/>
      <w:pPr>
        <w:ind w:left="8014" w:hanging="360"/>
      </w:pPr>
      <w:rPr>
        <w:rFonts w:ascii="Symbol" w:hAnsi="Symbol" w:hint="default"/>
      </w:rPr>
    </w:lvl>
    <w:lvl w:ilvl="7" w:tplc="0C0A0003" w:tentative="1">
      <w:start w:val="1"/>
      <w:numFmt w:val="bullet"/>
      <w:lvlText w:val="o"/>
      <w:lvlJc w:val="left"/>
      <w:pPr>
        <w:ind w:left="8734" w:hanging="360"/>
      </w:pPr>
      <w:rPr>
        <w:rFonts w:ascii="Courier New" w:hAnsi="Courier New" w:hint="default"/>
      </w:rPr>
    </w:lvl>
    <w:lvl w:ilvl="8" w:tplc="0C0A0005" w:tentative="1">
      <w:start w:val="1"/>
      <w:numFmt w:val="bullet"/>
      <w:lvlText w:val=""/>
      <w:lvlJc w:val="left"/>
      <w:pPr>
        <w:ind w:left="9454" w:hanging="360"/>
      </w:pPr>
      <w:rPr>
        <w:rFonts w:ascii="Wingdings" w:hAnsi="Wingdings" w:hint="default"/>
      </w:rPr>
    </w:lvl>
  </w:abstractNum>
  <w:abstractNum w:abstractNumId="29">
    <w:nsid w:val="6C1F255B"/>
    <w:multiLevelType w:val="hybridMultilevel"/>
    <w:tmpl w:val="A0349B6C"/>
    <w:lvl w:ilvl="0" w:tplc="0C0A000D">
      <w:start w:val="1"/>
      <w:numFmt w:val="bullet"/>
      <w:lvlText w:val=""/>
      <w:lvlJc w:val="left"/>
      <w:pPr>
        <w:ind w:left="1713" w:hanging="360"/>
      </w:pPr>
      <w:rPr>
        <w:rFonts w:ascii="Wingdings" w:hAnsi="Wingdings" w:hint="default"/>
      </w:rPr>
    </w:lvl>
    <w:lvl w:ilvl="1" w:tplc="0C0A000D">
      <w:start w:val="1"/>
      <w:numFmt w:val="bullet"/>
      <w:lvlText w:val=""/>
      <w:lvlJc w:val="left"/>
      <w:pPr>
        <w:ind w:left="2433" w:hanging="360"/>
      </w:pPr>
      <w:rPr>
        <w:rFonts w:ascii="Wingdings" w:hAnsi="Wingding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0">
    <w:nsid w:val="6CAE0DD4"/>
    <w:multiLevelType w:val="hybridMultilevel"/>
    <w:tmpl w:val="7B364BE0"/>
    <w:lvl w:ilvl="0" w:tplc="36305C3A">
      <w:start w:val="1"/>
      <w:numFmt w:val="bullet"/>
      <w:lvlText w:val=""/>
      <w:lvlJc w:val="left"/>
      <w:pPr>
        <w:tabs>
          <w:tab w:val="num" w:pos="720"/>
        </w:tabs>
        <w:ind w:left="720" w:hanging="360"/>
      </w:pPr>
      <w:rPr>
        <w:rFonts w:ascii="Wingdings" w:hAnsi="Wingdings" w:hint="default"/>
      </w:rPr>
    </w:lvl>
    <w:lvl w:ilvl="1" w:tplc="7A3E2FD2" w:tentative="1">
      <w:start w:val="1"/>
      <w:numFmt w:val="bullet"/>
      <w:lvlText w:val=""/>
      <w:lvlJc w:val="left"/>
      <w:pPr>
        <w:tabs>
          <w:tab w:val="num" w:pos="1440"/>
        </w:tabs>
        <w:ind w:left="1440" w:hanging="360"/>
      </w:pPr>
      <w:rPr>
        <w:rFonts w:ascii="Wingdings" w:hAnsi="Wingdings" w:hint="default"/>
      </w:rPr>
    </w:lvl>
    <w:lvl w:ilvl="2" w:tplc="13003094" w:tentative="1">
      <w:start w:val="1"/>
      <w:numFmt w:val="bullet"/>
      <w:lvlText w:val=""/>
      <w:lvlJc w:val="left"/>
      <w:pPr>
        <w:tabs>
          <w:tab w:val="num" w:pos="2160"/>
        </w:tabs>
        <w:ind w:left="2160" w:hanging="360"/>
      </w:pPr>
      <w:rPr>
        <w:rFonts w:ascii="Wingdings" w:hAnsi="Wingdings" w:hint="default"/>
      </w:rPr>
    </w:lvl>
    <w:lvl w:ilvl="3" w:tplc="F4AACE1E" w:tentative="1">
      <w:start w:val="1"/>
      <w:numFmt w:val="bullet"/>
      <w:lvlText w:val=""/>
      <w:lvlJc w:val="left"/>
      <w:pPr>
        <w:tabs>
          <w:tab w:val="num" w:pos="2880"/>
        </w:tabs>
        <w:ind w:left="2880" w:hanging="360"/>
      </w:pPr>
      <w:rPr>
        <w:rFonts w:ascii="Wingdings" w:hAnsi="Wingdings" w:hint="default"/>
      </w:rPr>
    </w:lvl>
    <w:lvl w:ilvl="4" w:tplc="CED4398C" w:tentative="1">
      <w:start w:val="1"/>
      <w:numFmt w:val="bullet"/>
      <w:lvlText w:val=""/>
      <w:lvlJc w:val="left"/>
      <w:pPr>
        <w:tabs>
          <w:tab w:val="num" w:pos="3600"/>
        </w:tabs>
        <w:ind w:left="3600" w:hanging="360"/>
      </w:pPr>
      <w:rPr>
        <w:rFonts w:ascii="Wingdings" w:hAnsi="Wingdings" w:hint="default"/>
      </w:rPr>
    </w:lvl>
    <w:lvl w:ilvl="5" w:tplc="198A0870" w:tentative="1">
      <w:start w:val="1"/>
      <w:numFmt w:val="bullet"/>
      <w:lvlText w:val=""/>
      <w:lvlJc w:val="left"/>
      <w:pPr>
        <w:tabs>
          <w:tab w:val="num" w:pos="4320"/>
        </w:tabs>
        <w:ind w:left="4320" w:hanging="360"/>
      </w:pPr>
      <w:rPr>
        <w:rFonts w:ascii="Wingdings" w:hAnsi="Wingdings" w:hint="default"/>
      </w:rPr>
    </w:lvl>
    <w:lvl w:ilvl="6" w:tplc="0D20FB0C" w:tentative="1">
      <w:start w:val="1"/>
      <w:numFmt w:val="bullet"/>
      <w:lvlText w:val=""/>
      <w:lvlJc w:val="left"/>
      <w:pPr>
        <w:tabs>
          <w:tab w:val="num" w:pos="5040"/>
        </w:tabs>
        <w:ind w:left="5040" w:hanging="360"/>
      </w:pPr>
      <w:rPr>
        <w:rFonts w:ascii="Wingdings" w:hAnsi="Wingdings" w:hint="default"/>
      </w:rPr>
    </w:lvl>
    <w:lvl w:ilvl="7" w:tplc="B4663D22" w:tentative="1">
      <w:start w:val="1"/>
      <w:numFmt w:val="bullet"/>
      <w:lvlText w:val=""/>
      <w:lvlJc w:val="left"/>
      <w:pPr>
        <w:tabs>
          <w:tab w:val="num" w:pos="5760"/>
        </w:tabs>
        <w:ind w:left="5760" w:hanging="360"/>
      </w:pPr>
      <w:rPr>
        <w:rFonts w:ascii="Wingdings" w:hAnsi="Wingdings" w:hint="default"/>
      </w:rPr>
    </w:lvl>
    <w:lvl w:ilvl="8" w:tplc="A9E43468" w:tentative="1">
      <w:start w:val="1"/>
      <w:numFmt w:val="bullet"/>
      <w:lvlText w:val=""/>
      <w:lvlJc w:val="left"/>
      <w:pPr>
        <w:tabs>
          <w:tab w:val="num" w:pos="6480"/>
        </w:tabs>
        <w:ind w:left="6480" w:hanging="360"/>
      </w:pPr>
      <w:rPr>
        <w:rFonts w:ascii="Wingdings" w:hAnsi="Wingdings" w:hint="default"/>
      </w:rPr>
    </w:lvl>
  </w:abstractNum>
  <w:abstractNum w:abstractNumId="31">
    <w:nsid w:val="6E0A3439"/>
    <w:multiLevelType w:val="hybridMultilevel"/>
    <w:tmpl w:val="3C72315E"/>
    <w:lvl w:ilvl="0" w:tplc="0C0A000D">
      <w:start w:val="1"/>
      <w:numFmt w:val="bullet"/>
      <w:lvlText w:val=""/>
      <w:lvlJc w:val="left"/>
      <w:pPr>
        <w:ind w:left="1713" w:hanging="360"/>
      </w:pPr>
      <w:rPr>
        <w:rFonts w:ascii="Wingdings" w:hAnsi="Wingdings" w:hint="default"/>
      </w:rPr>
    </w:lvl>
    <w:lvl w:ilvl="1" w:tplc="0C0A000D">
      <w:start w:val="1"/>
      <w:numFmt w:val="bullet"/>
      <w:lvlText w:val=""/>
      <w:lvlJc w:val="left"/>
      <w:pPr>
        <w:ind w:left="2040" w:hanging="360"/>
      </w:pPr>
      <w:rPr>
        <w:rFonts w:ascii="Wingdings" w:hAnsi="Wingding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2">
    <w:nsid w:val="708E4A7E"/>
    <w:multiLevelType w:val="hybridMultilevel"/>
    <w:tmpl w:val="A1885C3A"/>
    <w:lvl w:ilvl="0" w:tplc="0C0A000D">
      <w:start w:val="1"/>
      <w:numFmt w:val="bullet"/>
      <w:lvlText w:val=""/>
      <w:lvlJc w:val="left"/>
      <w:pPr>
        <w:ind w:left="1713" w:hanging="360"/>
      </w:pPr>
      <w:rPr>
        <w:rFonts w:ascii="Wingdings" w:hAnsi="Wingdings" w:hint="default"/>
      </w:rPr>
    </w:lvl>
    <w:lvl w:ilvl="1" w:tplc="0C0A0005">
      <w:start w:val="1"/>
      <w:numFmt w:val="bullet"/>
      <w:lvlText w:val=""/>
      <w:lvlJc w:val="left"/>
      <w:pPr>
        <w:ind w:left="2433" w:hanging="360"/>
      </w:pPr>
      <w:rPr>
        <w:rFonts w:ascii="Wingdings" w:hAnsi="Wingdings" w:hint="default"/>
      </w:rPr>
    </w:lvl>
    <w:lvl w:ilvl="2" w:tplc="0C0A0005">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3">
    <w:nsid w:val="73EF6A3D"/>
    <w:multiLevelType w:val="hybridMultilevel"/>
    <w:tmpl w:val="CB761BEE"/>
    <w:lvl w:ilvl="0" w:tplc="E8966DD4">
      <w:start w:val="1"/>
      <w:numFmt w:val="lowerLetter"/>
      <w:lvlText w:val="%1)"/>
      <w:lvlJc w:val="left"/>
      <w:pPr>
        <w:ind w:left="1353"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7CC208C"/>
    <w:multiLevelType w:val="hybridMultilevel"/>
    <w:tmpl w:val="1A3E15E2"/>
    <w:lvl w:ilvl="0" w:tplc="0C0A0005">
      <w:start w:val="1"/>
      <w:numFmt w:val="bullet"/>
      <w:lvlText w:val=""/>
      <w:lvlJc w:val="left"/>
      <w:pPr>
        <w:ind w:left="1800" w:hanging="360"/>
      </w:pPr>
      <w:rPr>
        <w:rFonts w:ascii="Wingdings" w:hAnsi="Wingdings" w:hint="default"/>
      </w:rPr>
    </w:lvl>
    <w:lvl w:ilvl="1" w:tplc="0C0A000D">
      <w:start w:val="1"/>
      <w:numFmt w:val="bullet"/>
      <w:lvlText w:val=""/>
      <w:lvlJc w:val="left"/>
      <w:pPr>
        <w:ind w:left="2520" w:hanging="360"/>
      </w:pPr>
      <w:rPr>
        <w:rFonts w:ascii="Wingdings" w:hAnsi="Wingdings"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5">
    <w:nsid w:val="7ECB17FB"/>
    <w:multiLevelType w:val="hybridMultilevel"/>
    <w:tmpl w:val="780001B0"/>
    <w:lvl w:ilvl="0" w:tplc="FF9CC71C">
      <w:start w:val="1"/>
      <w:numFmt w:val="decimal"/>
      <w:pStyle w:val="Ttulo2"/>
      <w:lvlText w:val="%1"/>
      <w:lvlJc w:val="left"/>
      <w:pPr>
        <w:ind w:left="60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28"/>
  </w:num>
  <w:num w:numId="3">
    <w:abstractNumId w:val="14"/>
  </w:num>
  <w:num w:numId="4">
    <w:abstractNumId w:val="23"/>
  </w:num>
  <w:num w:numId="5">
    <w:abstractNumId w:val="29"/>
  </w:num>
  <w:num w:numId="6">
    <w:abstractNumId w:val="34"/>
  </w:num>
  <w:num w:numId="7">
    <w:abstractNumId w:val="27"/>
  </w:num>
  <w:num w:numId="8">
    <w:abstractNumId w:val="26"/>
  </w:num>
  <w:num w:numId="9">
    <w:abstractNumId w:val="31"/>
  </w:num>
  <w:num w:numId="10">
    <w:abstractNumId w:val="16"/>
  </w:num>
  <w:num w:numId="11">
    <w:abstractNumId w:val="22"/>
  </w:num>
  <w:num w:numId="12">
    <w:abstractNumId w:val="12"/>
  </w:num>
  <w:num w:numId="13">
    <w:abstractNumId w:val="13"/>
  </w:num>
  <w:num w:numId="14">
    <w:abstractNumId w:val="10"/>
  </w:num>
  <w:num w:numId="15">
    <w:abstractNumId w:val="19"/>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0"/>
  </w:num>
  <w:num w:numId="26">
    <w:abstractNumId w:val="21"/>
  </w:num>
  <w:num w:numId="27">
    <w:abstractNumId w:val="35"/>
  </w:num>
  <w:num w:numId="28">
    <w:abstractNumId w:val="11"/>
  </w:num>
  <w:num w:numId="29">
    <w:abstractNumId w:val="15"/>
  </w:num>
  <w:num w:numId="30">
    <w:abstractNumId w:val="11"/>
    <w:lvlOverride w:ilvl="0">
      <w:startOverride w:val="1"/>
    </w:lvlOverride>
  </w:num>
  <w:num w:numId="31">
    <w:abstractNumId w:val="17"/>
  </w:num>
  <w:num w:numId="32">
    <w:abstractNumId w:val="32"/>
  </w:num>
  <w:num w:numId="33">
    <w:abstractNumId w:val="18"/>
  </w:num>
  <w:num w:numId="34">
    <w:abstractNumId w:val="25"/>
  </w:num>
  <w:num w:numId="35">
    <w:abstractNumId w:val="33"/>
  </w:num>
  <w:num w:numId="36">
    <w:abstractNumId w:val="30"/>
  </w:num>
  <w:num w:numId="37">
    <w:abstractNumId w:val="0"/>
  </w:num>
  <w:num w:numId="38">
    <w:abstractNumId w:val="35"/>
  </w:num>
  <w:num w:numId="39">
    <w:abstractNumId w:val="35"/>
  </w:num>
  <w:num w:numId="40">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numFmt w:val="decimal"/>
    <w:endnote w:id="0"/>
    <w:endnote w:id="1"/>
  </w:endnotePr>
  <w:compat/>
  <w:rsids>
    <w:rsidRoot w:val="0086144F"/>
    <w:rsid w:val="0000034F"/>
    <w:rsid w:val="0000399D"/>
    <w:rsid w:val="00004804"/>
    <w:rsid w:val="00005850"/>
    <w:rsid w:val="00010BBF"/>
    <w:rsid w:val="00011BB3"/>
    <w:rsid w:val="0001252F"/>
    <w:rsid w:val="0002556A"/>
    <w:rsid w:val="0003106B"/>
    <w:rsid w:val="0003118D"/>
    <w:rsid w:val="000323A9"/>
    <w:rsid w:val="000332D4"/>
    <w:rsid w:val="00042D65"/>
    <w:rsid w:val="00046855"/>
    <w:rsid w:val="00047A35"/>
    <w:rsid w:val="00047D76"/>
    <w:rsid w:val="00050219"/>
    <w:rsid w:val="000529F2"/>
    <w:rsid w:val="0005601F"/>
    <w:rsid w:val="00060776"/>
    <w:rsid w:val="00064048"/>
    <w:rsid w:val="000640FE"/>
    <w:rsid w:val="000678BC"/>
    <w:rsid w:val="00072CD2"/>
    <w:rsid w:val="000756CE"/>
    <w:rsid w:val="000758EE"/>
    <w:rsid w:val="00075FE9"/>
    <w:rsid w:val="00076527"/>
    <w:rsid w:val="00080F1B"/>
    <w:rsid w:val="00081CD9"/>
    <w:rsid w:val="00087A20"/>
    <w:rsid w:val="00091E81"/>
    <w:rsid w:val="00093E5B"/>
    <w:rsid w:val="000957A1"/>
    <w:rsid w:val="00096F45"/>
    <w:rsid w:val="000A0B06"/>
    <w:rsid w:val="000A1DEE"/>
    <w:rsid w:val="000A1E3C"/>
    <w:rsid w:val="000A28D6"/>
    <w:rsid w:val="000A6675"/>
    <w:rsid w:val="000A6CBF"/>
    <w:rsid w:val="000A7FBB"/>
    <w:rsid w:val="000B1C36"/>
    <w:rsid w:val="000B63EB"/>
    <w:rsid w:val="000B6F0B"/>
    <w:rsid w:val="000B78E6"/>
    <w:rsid w:val="000C00C1"/>
    <w:rsid w:val="000C1987"/>
    <w:rsid w:val="000C290A"/>
    <w:rsid w:val="000D2B71"/>
    <w:rsid w:val="000E0268"/>
    <w:rsid w:val="000E15CE"/>
    <w:rsid w:val="000E58E2"/>
    <w:rsid w:val="000F4A23"/>
    <w:rsid w:val="00103817"/>
    <w:rsid w:val="00111EBC"/>
    <w:rsid w:val="00112648"/>
    <w:rsid w:val="001204B1"/>
    <w:rsid w:val="00121F8F"/>
    <w:rsid w:val="001357E2"/>
    <w:rsid w:val="0014263B"/>
    <w:rsid w:val="00142826"/>
    <w:rsid w:val="00142BE0"/>
    <w:rsid w:val="00147F8A"/>
    <w:rsid w:val="00150042"/>
    <w:rsid w:val="00152CC5"/>
    <w:rsid w:val="00154A5A"/>
    <w:rsid w:val="00165992"/>
    <w:rsid w:val="00170A72"/>
    <w:rsid w:val="001712BE"/>
    <w:rsid w:val="00171353"/>
    <w:rsid w:val="00171CAF"/>
    <w:rsid w:val="001723B8"/>
    <w:rsid w:val="001729CF"/>
    <w:rsid w:val="00180FA7"/>
    <w:rsid w:val="00183A15"/>
    <w:rsid w:val="00183D1D"/>
    <w:rsid w:val="001845AD"/>
    <w:rsid w:val="00185393"/>
    <w:rsid w:val="0018552F"/>
    <w:rsid w:val="00186DE7"/>
    <w:rsid w:val="00186F0A"/>
    <w:rsid w:val="00187BC9"/>
    <w:rsid w:val="00190668"/>
    <w:rsid w:val="00191A04"/>
    <w:rsid w:val="00192525"/>
    <w:rsid w:val="001933D3"/>
    <w:rsid w:val="00194144"/>
    <w:rsid w:val="001960E3"/>
    <w:rsid w:val="0019719E"/>
    <w:rsid w:val="00197C7D"/>
    <w:rsid w:val="001A362B"/>
    <w:rsid w:val="001A5DD1"/>
    <w:rsid w:val="001A6E46"/>
    <w:rsid w:val="001B4455"/>
    <w:rsid w:val="001C0670"/>
    <w:rsid w:val="001C0715"/>
    <w:rsid w:val="001D2353"/>
    <w:rsid w:val="001D2A19"/>
    <w:rsid w:val="001D2E53"/>
    <w:rsid w:val="001D6F20"/>
    <w:rsid w:val="001D735C"/>
    <w:rsid w:val="001E0723"/>
    <w:rsid w:val="001E1486"/>
    <w:rsid w:val="001E18BD"/>
    <w:rsid w:val="001E2C7A"/>
    <w:rsid w:val="001E3ABD"/>
    <w:rsid w:val="001E496B"/>
    <w:rsid w:val="001E5EF3"/>
    <w:rsid w:val="001E7B27"/>
    <w:rsid w:val="001F002F"/>
    <w:rsid w:val="001F081F"/>
    <w:rsid w:val="001F2CB7"/>
    <w:rsid w:val="001F32A2"/>
    <w:rsid w:val="001F5FAD"/>
    <w:rsid w:val="001F62A9"/>
    <w:rsid w:val="00200C58"/>
    <w:rsid w:val="00204398"/>
    <w:rsid w:val="002074C5"/>
    <w:rsid w:val="00212EF2"/>
    <w:rsid w:val="0021379E"/>
    <w:rsid w:val="00213BE9"/>
    <w:rsid w:val="0021472C"/>
    <w:rsid w:val="00215D7C"/>
    <w:rsid w:val="00217B63"/>
    <w:rsid w:val="00217FD1"/>
    <w:rsid w:val="002309CB"/>
    <w:rsid w:val="00233535"/>
    <w:rsid w:val="002361F6"/>
    <w:rsid w:val="002412ED"/>
    <w:rsid w:val="00244544"/>
    <w:rsid w:val="00247109"/>
    <w:rsid w:val="0024774B"/>
    <w:rsid w:val="00247C80"/>
    <w:rsid w:val="00250470"/>
    <w:rsid w:val="0025075A"/>
    <w:rsid w:val="00250C70"/>
    <w:rsid w:val="002525B1"/>
    <w:rsid w:val="00254E07"/>
    <w:rsid w:val="002606C6"/>
    <w:rsid w:val="00260D0A"/>
    <w:rsid w:val="00265799"/>
    <w:rsid w:val="00265959"/>
    <w:rsid w:val="002709E0"/>
    <w:rsid w:val="00271204"/>
    <w:rsid w:val="00271B9C"/>
    <w:rsid w:val="0028042D"/>
    <w:rsid w:val="0028115E"/>
    <w:rsid w:val="00282A51"/>
    <w:rsid w:val="00284C4F"/>
    <w:rsid w:val="00284EB3"/>
    <w:rsid w:val="002944C1"/>
    <w:rsid w:val="002A1120"/>
    <w:rsid w:val="002A3F24"/>
    <w:rsid w:val="002A7D3B"/>
    <w:rsid w:val="002B140D"/>
    <w:rsid w:val="002B2781"/>
    <w:rsid w:val="002B28ED"/>
    <w:rsid w:val="002B4E73"/>
    <w:rsid w:val="002B548F"/>
    <w:rsid w:val="002B709A"/>
    <w:rsid w:val="002B790E"/>
    <w:rsid w:val="002C4BAF"/>
    <w:rsid w:val="002D0CF8"/>
    <w:rsid w:val="002D1107"/>
    <w:rsid w:val="002D1EAD"/>
    <w:rsid w:val="002D220D"/>
    <w:rsid w:val="002D59E6"/>
    <w:rsid w:val="002D66F3"/>
    <w:rsid w:val="002D6DC2"/>
    <w:rsid w:val="002E18FC"/>
    <w:rsid w:val="002E23F9"/>
    <w:rsid w:val="002E42DB"/>
    <w:rsid w:val="002E5C9A"/>
    <w:rsid w:val="002F0F86"/>
    <w:rsid w:val="002F246C"/>
    <w:rsid w:val="002F5097"/>
    <w:rsid w:val="00303AE5"/>
    <w:rsid w:val="00304CEE"/>
    <w:rsid w:val="00306B5F"/>
    <w:rsid w:val="00307823"/>
    <w:rsid w:val="00314A35"/>
    <w:rsid w:val="0032078A"/>
    <w:rsid w:val="00320FCA"/>
    <w:rsid w:val="003237C2"/>
    <w:rsid w:val="00326C3E"/>
    <w:rsid w:val="003308CC"/>
    <w:rsid w:val="00333A5E"/>
    <w:rsid w:val="00334F36"/>
    <w:rsid w:val="003472BB"/>
    <w:rsid w:val="00352212"/>
    <w:rsid w:val="00352319"/>
    <w:rsid w:val="00352FD9"/>
    <w:rsid w:val="003578CF"/>
    <w:rsid w:val="0036143C"/>
    <w:rsid w:val="00363536"/>
    <w:rsid w:val="00364E7B"/>
    <w:rsid w:val="00380049"/>
    <w:rsid w:val="003810E9"/>
    <w:rsid w:val="00381A72"/>
    <w:rsid w:val="00390788"/>
    <w:rsid w:val="00392F1A"/>
    <w:rsid w:val="003932F3"/>
    <w:rsid w:val="003A0ED8"/>
    <w:rsid w:val="003A1920"/>
    <w:rsid w:val="003B0B42"/>
    <w:rsid w:val="003B2D2B"/>
    <w:rsid w:val="003B3B5B"/>
    <w:rsid w:val="003B43B1"/>
    <w:rsid w:val="003B4BB6"/>
    <w:rsid w:val="003B5C79"/>
    <w:rsid w:val="003C0DE6"/>
    <w:rsid w:val="003C0EA8"/>
    <w:rsid w:val="003C3B02"/>
    <w:rsid w:val="003C3D97"/>
    <w:rsid w:val="003C55B3"/>
    <w:rsid w:val="003C69E7"/>
    <w:rsid w:val="003C731A"/>
    <w:rsid w:val="003D0637"/>
    <w:rsid w:val="003D0813"/>
    <w:rsid w:val="003D28F3"/>
    <w:rsid w:val="003D3106"/>
    <w:rsid w:val="003D5E8F"/>
    <w:rsid w:val="003D6531"/>
    <w:rsid w:val="003D665A"/>
    <w:rsid w:val="003E329E"/>
    <w:rsid w:val="003F020D"/>
    <w:rsid w:val="003F0737"/>
    <w:rsid w:val="003F1941"/>
    <w:rsid w:val="0040051A"/>
    <w:rsid w:val="0040217F"/>
    <w:rsid w:val="00402C75"/>
    <w:rsid w:val="00414BE7"/>
    <w:rsid w:val="00420E64"/>
    <w:rsid w:val="00421453"/>
    <w:rsid w:val="00425A43"/>
    <w:rsid w:val="004277F6"/>
    <w:rsid w:val="004315B4"/>
    <w:rsid w:val="00437684"/>
    <w:rsid w:val="00437705"/>
    <w:rsid w:val="00441F72"/>
    <w:rsid w:val="00445221"/>
    <w:rsid w:val="00445D44"/>
    <w:rsid w:val="00445FDC"/>
    <w:rsid w:val="00452DB6"/>
    <w:rsid w:val="00456A77"/>
    <w:rsid w:val="00460DB3"/>
    <w:rsid w:val="004617D5"/>
    <w:rsid w:val="0046272A"/>
    <w:rsid w:val="00464479"/>
    <w:rsid w:val="00466FBB"/>
    <w:rsid w:val="004708EC"/>
    <w:rsid w:val="00470998"/>
    <w:rsid w:val="004712B2"/>
    <w:rsid w:val="00472C78"/>
    <w:rsid w:val="00473592"/>
    <w:rsid w:val="00475EF9"/>
    <w:rsid w:val="00477942"/>
    <w:rsid w:val="004834D2"/>
    <w:rsid w:val="00483745"/>
    <w:rsid w:val="00483C27"/>
    <w:rsid w:val="00487C36"/>
    <w:rsid w:val="004921B2"/>
    <w:rsid w:val="00492CB4"/>
    <w:rsid w:val="0049306A"/>
    <w:rsid w:val="0049499E"/>
    <w:rsid w:val="00495DAB"/>
    <w:rsid w:val="004968BC"/>
    <w:rsid w:val="004973DC"/>
    <w:rsid w:val="004A0FD0"/>
    <w:rsid w:val="004B25EA"/>
    <w:rsid w:val="004B3FDF"/>
    <w:rsid w:val="004B5987"/>
    <w:rsid w:val="004B66EE"/>
    <w:rsid w:val="004C16EF"/>
    <w:rsid w:val="004C1DA3"/>
    <w:rsid w:val="004C4F78"/>
    <w:rsid w:val="004C67AB"/>
    <w:rsid w:val="004D3C10"/>
    <w:rsid w:val="004D44F4"/>
    <w:rsid w:val="004D4535"/>
    <w:rsid w:val="004D4F85"/>
    <w:rsid w:val="004D6D9E"/>
    <w:rsid w:val="004D70D1"/>
    <w:rsid w:val="004E16C7"/>
    <w:rsid w:val="004E398B"/>
    <w:rsid w:val="004E4600"/>
    <w:rsid w:val="004F02E9"/>
    <w:rsid w:val="004F2C33"/>
    <w:rsid w:val="004F68F1"/>
    <w:rsid w:val="00500AB1"/>
    <w:rsid w:val="00502ADD"/>
    <w:rsid w:val="00507A62"/>
    <w:rsid w:val="00511DDE"/>
    <w:rsid w:val="00512E25"/>
    <w:rsid w:val="005138A9"/>
    <w:rsid w:val="005145B1"/>
    <w:rsid w:val="00514682"/>
    <w:rsid w:val="0051565A"/>
    <w:rsid w:val="00517ED8"/>
    <w:rsid w:val="00522174"/>
    <w:rsid w:val="005238A9"/>
    <w:rsid w:val="00526021"/>
    <w:rsid w:val="00526627"/>
    <w:rsid w:val="00527130"/>
    <w:rsid w:val="00527474"/>
    <w:rsid w:val="0053000D"/>
    <w:rsid w:val="005328AE"/>
    <w:rsid w:val="005353AA"/>
    <w:rsid w:val="005375DB"/>
    <w:rsid w:val="00540326"/>
    <w:rsid w:val="00541B48"/>
    <w:rsid w:val="00542212"/>
    <w:rsid w:val="0054249C"/>
    <w:rsid w:val="00542BB1"/>
    <w:rsid w:val="00543228"/>
    <w:rsid w:val="005436B4"/>
    <w:rsid w:val="00543C33"/>
    <w:rsid w:val="00543F1E"/>
    <w:rsid w:val="00550E06"/>
    <w:rsid w:val="0055155B"/>
    <w:rsid w:val="005530FB"/>
    <w:rsid w:val="00554514"/>
    <w:rsid w:val="0055454C"/>
    <w:rsid w:val="00556EC0"/>
    <w:rsid w:val="00557958"/>
    <w:rsid w:val="00560C54"/>
    <w:rsid w:val="00561583"/>
    <w:rsid w:val="00562413"/>
    <w:rsid w:val="00563E10"/>
    <w:rsid w:val="0056456C"/>
    <w:rsid w:val="005655FD"/>
    <w:rsid w:val="00567190"/>
    <w:rsid w:val="0057065D"/>
    <w:rsid w:val="00574BC2"/>
    <w:rsid w:val="00574D7B"/>
    <w:rsid w:val="00577A35"/>
    <w:rsid w:val="0058284F"/>
    <w:rsid w:val="00582E52"/>
    <w:rsid w:val="00591281"/>
    <w:rsid w:val="00592E68"/>
    <w:rsid w:val="00595882"/>
    <w:rsid w:val="005A0185"/>
    <w:rsid w:val="005A5680"/>
    <w:rsid w:val="005A6E50"/>
    <w:rsid w:val="005B3F59"/>
    <w:rsid w:val="005B5B8A"/>
    <w:rsid w:val="005B66DD"/>
    <w:rsid w:val="005C11AC"/>
    <w:rsid w:val="005C1CD8"/>
    <w:rsid w:val="005C5183"/>
    <w:rsid w:val="005C6F44"/>
    <w:rsid w:val="005C7586"/>
    <w:rsid w:val="005D18E4"/>
    <w:rsid w:val="005D3E74"/>
    <w:rsid w:val="005D6544"/>
    <w:rsid w:val="005E2878"/>
    <w:rsid w:val="005E32F0"/>
    <w:rsid w:val="005E349C"/>
    <w:rsid w:val="005E4186"/>
    <w:rsid w:val="005E48E7"/>
    <w:rsid w:val="005E4952"/>
    <w:rsid w:val="005E6FA4"/>
    <w:rsid w:val="005F006A"/>
    <w:rsid w:val="005F08EA"/>
    <w:rsid w:val="005F0C13"/>
    <w:rsid w:val="005F19CD"/>
    <w:rsid w:val="005F38A6"/>
    <w:rsid w:val="005F39ED"/>
    <w:rsid w:val="005F7768"/>
    <w:rsid w:val="00601F2D"/>
    <w:rsid w:val="0060540D"/>
    <w:rsid w:val="0061353F"/>
    <w:rsid w:val="006138DD"/>
    <w:rsid w:val="0061425A"/>
    <w:rsid w:val="006211D6"/>
    <w:rsid w:val="006318BF"/>
    <w:rsid w:val="00633C54"/>
    <w:rsid w:val="00634467"/>
    <w:rsid w:val="00634A8F"/>
    <w:rsid w:val="00636D8B"/>
    <w:rsid w:val="00644AC6"/>
    <w:rsid w:val="0064599F"/>
    <w:rsid w:val="0064624B"/>
    <w:rsid w:val="00647944"/>
    <w:rsid w:val="00647B7A"/>
    <w:rsid w:val="0065046B"/>
    <w:rsid w:val="00651852"/>
    <w:rsid w:val="006530DA"/>
    <w:rsid w:val="00656E97"/>
    <w:rsid w:val="006615F9"/>
    <w:rsid w:val="00661994"/>
    <w:rsid w:val="00663ACA"/>
    <w:rsid w:val="00665118"/>
    <w:rsid w:val="00671867"/>
    <w:rsid w:val="00672394"/>
    <w:rsid w:val="006807B1"/>
    <w:rsid w:val="00680DA9"/>
    <w:rsid w:val="006811C1"/>
    <w:rsid w:val="00681E1B"/>
    <w:rsid w:val="00683BE4"/>
    <w:rsid w:val="006843E1"/>
    <w:rsid w:val="006902AE"/>
    <w:rsid w:val="00691528"/>
    <w:rsid w:val="00693BBC"/>
    <w:rsid w:val="00694067"/>
    <w:rsid w:val="006947CC"/>
    <w:rsid w:val="006A1815"/>
    <w:rsid w:val="006A45BA"/>
    <w:rsid w:val="006A66CC"/>
    <w:rsid w:val="006B0CC6"/>
    <w:rsid w:val="006B54BA"/>
    <w:rsid w:val="006C552E"/>
    <w:rsid w:val="006C6A3B"/>
    <w:rsid w:val="006D434F"/>
    <w:rsid w:val="006D4E57"/>
    <w:rsid w:val="006D540E"/>
    <w:rsid w:val="006E1BB1"/>
    <w:rsid w:val="006E25C3"/>
    <w:rsid w:val="006E6C40"/>
    <w:rsid w:val="006E7715"/>
    <w:rsid w:val="006E7C5A"/>
    <w:rsid w:val="006F0C3E"/>
    <w:rsid w:val="006F1FBE"/>
    <w:rsid w:val="006F39D2"/>
    <w:rsid w:val="006F3E47"/>
    <w:rsid w:val="006F4467"/>
    <w:rsid w:val="006F4C2C"/>
    <w:rsid w:val="006F5985"/>
    <w:rsid w:val="006F7A3E"/>
    <w:rsid w:val="007032B4"/>
    <w:rsid w:val="00704548"/>
    <w:rsid w:val="00704A24"/>
    <w:rsid w:val="00705C12"/>
    <w:rsid w:val="0070728B"/>
    <w:rsid w:val="00710806"/>
    <w:rsid w:val="007112D2"/>
    <w:rsid w:val="00711FE8"/>
    <w:rsid w:val="007153C0"/>
    <w:rsid w:val="00715D47"/>
    <w:rsid w:val="00716BF2"/>
    <w:rsid w:val="00720DA8"/>
    <w:rsid w:val="007240CB"/>
    <w:rsid w:val="007242DE"/>
    <w:rsid w:val="00726F60"/>
    <w:rsid w:val="007361EF"/>
    <w:rsid w:val="00740EFD"/>
    <w:rsid w:val="00741CFB"/>
    <w:rsid w:val="00742368"/>
    <w:rsid w:val="00742797"/>
    <w:rsid w:val="0074343D"/>
    <w:rsid w:val="00743D35"/>
    <w:rsid w:val="00745931"/>
    <w:rsid w:val="007463DF"/>
    <w:rsid w:val="00757618"/>
    <w:rsid w:val="00765723"/>
    <w:rsid w:val="00771054"/>
    <w:rsid w:val="00772838"/>
    <w:rsid w:val="00775F12"/>
    <w:rsid w:val="0077607B"/>
    <w:rsid w:val="00780BB7"/>
    <w:rsid w:val="00783FB0"/>
    <w:rsid w:val="00785974"/>
    <w:rsid w:val="007908A6"/>
    <w:rsid w:val="00791784"/>
    <w:rsid w:val="00791A0D"/>
    <w:rsid w:val="00793EF2"/>
    <w:rsid w:val="007943B0"/>
    <w:rsid w:val="007A2044"/>
    <w:rsid w:val="007A5C4B"/>
    <w:rsid w:val="007A7380"/>
    <w:rsid w:val="007B006C"/>
    <w:rsid w:val="007B31FC"/>
    <w:rsid w:val="007B56A8"/>
    <w:rsid w:val="007C0F35"/>
    <w:rsid w:val="007C11EE"/>
    <w:rsid w:val="007C1C93"/>
    <w:rsid w:val="007C6C1B"/>
    <w:rsid w:val="007C7E1D"/>
    <w:rsid w:val="007D12FF"/>
    <w:rsid w:val="007D44A0"/>
    <w:rsid w:val="007D7B41"/>
    <w:rsid w:val="007E1679"/>
    <w:rsid w:val="007E30EB"/>
    <w:rsid w:val="007E3EA6"/>
    <w:rsid w:val="007E74F2"/>
    <w:rsid w:val="007F2A4B"/>
    <w:rsid w:val="007F3EEF"/>
    <w:rsid w:val="007F3F5F"/>
    <w:rsid w:val="007F46A7"/>
    <w:rsid w:val="008000CA"/>
    <w:rsid w:val="00805BDE"/>
    <w:rsid w:val="008076AB"/>
    <w:rsid w:val="008079E9"/>
    <w:rsid w:val="0081326A"/>
    <w:rsid w:val="0081471C"/>
    <w:rsid w:val="00814D6F"/>
    <w:rsid w:val="00815E90"/>
    <w:rsid w:val="0082003C"/>
    <w:rsid w:val="00821B28"/>
    <w:rsid w:val="00821F48"/>
    <w:rsid w:val="00822607"/>
    <w:rsid w:val="0082615B"/>
    <w:rsid w:val="00827EEE"/>
    <w:rsid w:val="00830268"/>
    <w:rsid w:val="00835B38"/>
    <w:rsid w:val="00836389"/>
    <w:rsid w:val="00837AEF"/>
    <w:rsid w:val="0084014D"/>
    <w:rsid w:val="00840E99"/>
    <w:rsid w:val="00843489"/>
    <w:rsid w:val="00844D38"/>
    <w:rsid w:val="00845556"/>
    <w:rsid w:val="00851235"/>
    <w:rsid w:val="00852CBE"/>
    <w:rsid w:val="00853A41"/>
    <w:rsid w:val="00861317"/>
    <w:rsid w:val="0086144F"/>
    <w:rsid w:val="00862A18"/>
    <w:rsid w:val="00863413"/>
    <w:rsid w:val="008636CD"/>
    <w:rsid w:val="00874CE8"/>
    <w:rsid w:val="008762EF"/>
    <w:rsid w:val="00880FFF"/>
    <w:rsid w:val="00885AE4"/>
    <w:rsid w:val="00887BE6"/>
    <w:rsid w:val="008A063A"/>
    <w:rsid w:val="008A1C1A"/>
    <w:rsid w:val="008A2B80"/>
    <w:rsid w:val="008A438B"/>
    <w:rsid w:val="008A4F59"/>
    <w:rsid w:val="008B1435"/>
    <w:rsid w:val="008B301C"/>
    <w:rsid w:val="008B366C"/>
    <w:rsid w:val="008B52F1"/>
    <w:rsid w:val="008B5F6E"/>
    <w:rsid w:val="008B712D"/>
    <w:rsid w:val="008C3857"/>
    <w:rsid w:val="008C4467"/>
    <w:rsid w:val="008C4E0D"/>
    <w:rsid w:val="008C58BE"/>
    <w:rsid w:val="008D1E75"/>
    <w:rsid w:val="008D30D7"/>
    <w:rsid w:val="008D3AA9"/>
    <w:rsid w:val="008D3EA4"/>
    <w:rsid w:val="008D3EE8"/>
    <w:rsid w:val="008D4372"/>
    <w:rsid w:val="008D51B2"/>
    <w:rsid w:val="008E71BB"/>
    <w:rsid w:val="008E7275"/>
    <w:rsid w:val="008F0680"/>
    <w:rsid w:val="008F23A3"/>
    <w:rsid w:val="008F2626"/>
    <w:rsid w:val="008F52E0"/>
    <w:rsid w:val="008F5DAF"/>
    <w:rsid w:val="008F6FE2"/>
    <w:rsid w:val="008F7487"/>
    <w:rsid w:val="00901F59"/>
    <w:rsid w:val="00902919"/>
    <w:rsid w:val="00903758"/>
    <w:rsid w:val="00904912"/>
    <w:rsid w:val="009072D2"/>
    <w:rsid w:val="0091034F"/>
    <w:rsid w:val="009106BB"/>
    <w:rsid w:val="0091125F"/>
    <w:rsid w:val="009116AE"/>
    <w:rsid w:val="009132E1"/>
    <w:rsid w:val="00914C78"/>
    <w:rsid w:val="00915772"/>
    <w:rsid w:val="00916619"/>
    <w:rsid w:val="0091669B"/>
    <w:rsid w:val="00921842"/>
    <w:rsid w:val="0092390C"/>
    <w:rsid w:val="0092664B"/>
    <w:rsid w:val="00926FF2"/>
    <w:rsid w:val="0092796E"/>
    <w:rsid w:val="009302CB"/>
    <w:rsid w:val="009309C3"/>
    <w:rsid w:val="00931941"/>
    <w:rsid w:val="00935575"/>
    <w:rsid w:val="00936BE3"/>
    <w:rsid w:val="0095046B"/>
    <w:rsid w:val="0095361E"/>
    <w:rsid w:val="0096030C"/>
    <w:rsid w:val="0096079C"/>
    <w:rsid w:val="00960F9A"/>
    <w:rsid w:val="009637EB"/>
    <w:rsid w:val="0096415F"/>
    <w:rsid w:val="00976530"/>
    <w:rsid w:val="00981DFF"/>
    <w:rsid w:val="00983561"/>
    <w:rsid w:val="00984695"/>
    <w:rsid w:val="0098640D"/>
    <w:rsid w:val="009874D6"/>
    <w:rsid w:val="00987A4F"/>
    <w:rsid w:val="00987E43"/>
    <w:rsid w:val="009910AD"/>
    <w:rsid w:val="0099669D"/>
    <w:rsid w:val="009A077C"/>
    <w:rsid w:val="009A08C9"/>
    <w:rsid w:val="009A2BA8"/>
    <w:rsid w:val="009A2C24"/>
    <w:rsid w:val="009A3ECA"/>
    <w:rsid w:val="009A5B8B"/>
    <w:rsid w:val="009A7C55"/>
    <w:rsid w:val="009B0FA0"/>
    <w:rsid w:val="009B1666"/>
    <w:rsid w:val="009B1725"/>
    <w:rsid w:val="009B3042"/>
    <w:rsid w:val="009B47E8"/>
    <w:rsid w:val="009B7715"/>
    <w:rsid w:val="009B7BF1"/>
    <w:rsid w:val="009C0F40"/>
    <w:rsid w:val="009C10AF"/>
    <w:rsid w:val="009C43D2"/>
    <w:rsid w:val="009C6F0C"/>
    <w:rsid w:val="009C75E8"/>
    <w:rsid w:val="009D115B"/>
    <w:rsid w:val="009D518E"/>
    <w:rsid w:val="009E01A8"/>
    <w:rsid w:val="009E1014"/>
    <w:rsid w:val="009E1A9A"/>
    <w:rsid w:val="009E2307"/>
    <w:rsid w:val="009E2C96"/>
    <w:rsid w:val="009F0C29"/>
    <w:rsid w:val="009F25AF"/>
    <w:rsid w:val="009F6D50"/>
    <w:rsid w:val="009F6E7B"/>
    <w:rsid w:val="009F72B0"/>
    <w:rsid w:val="009F7B32"/>
    <w:rsid w:val="00A029F1"/>
    <w:rsid w:val="00A067C8"/>
    <w:rsid w:val="00A10622"/>
    <w:rsid w:val="00A10D21"/>
    <w:rsid w:val="00A11940"/>
    <w:rsid w:val="00A11E46"/>
    <w:rsid w:val="00A14E89"/>
    <w:rsid w:val="00A16E13"/>
    <w:rsid w:val="00A21D59"/>
    <w:rsid w:val="00A238C2"/>
    <w:rsid w:val="00A23DA6"/>
    <w:rsid w:val="00A26732"/>
    <w:rsid w:val="00A26FBC"/>
    <w:rsid w:val="00A45F61"/>
    <w:rsid w:val="00A46DC4"/>
    <w:rsid w:val="00A47C3A"/>
    <w:rsid w:val="00A52A0D"/>
    <w:rsid w:val="00A53507"/>
    <w:rsid w:val="00A55316"/>
    <w:rsid w:val="00A55B44"/>
    <w:rsid w:val="00A64DFE"/>
    <w:rsid w:val="00A7197B"/>
    <w:rsid w:val="00A72CF6"/>
    <w:rsid w:val="00A74087"/>
    <w:rsid w:val="00A74707"/>
    <w:rsid w:val="00A80465"/>
    <w:rsid w:val="00A804B9"/>
    <w:rsid w:val="00A86CCC"/>
    <w:rsid w:val="00A91143"/>
    <w:rsid w:val="00A923F9"/>
    <w:rsid w:val="00A925A6"/>
    <w:rsid w:val="00A92C5D"/>
    <w:rsid w:val="00A94AC0"/>
    <w:rsid w:val="00A97967"/>
    <w:rsid w:val="00AA0B48"/>
    <w:rsid w:val="00AA2594"/>
    <w:rsid w:val="00AA41FF"/>
    <w:rsid w:val="00AA7981"/>
    <w:rsid w:val="00AA7C09"/>
    <w:rsid w:val="00AB10F9"/>
    <w:rsid w:val="00AB1C5F"/>
    <w:rsid w:val="00AB69D3"/>
    <w:rsid w:val="00AC488C"/>
    <w:rsid w:val="00AC69DD"/>
    <w:rsid w:val="00AD0EE6"/>
    <w:rsid w:val="00AD1BAD"/>
    <w:rsid w:val="00AD7ECB"/>
    <w:rsid w:val="00AE18FE"/>
    <w:rsid w:val="00AE1FEB"/>
    <w:rsid w:val="00AE4C8D"/>
    <w:rsid w:val="00AE5F1B"/>
    <w:rsid w:val="00AE6618"/>
    <w:rsid w:val="00AE6F02"/>
    <w:rsid w:val="00AE7F62"/>
    <w:rsid w:val="00AF14C4"/>
    <w:rsid w:val="00AF3199"/>
    <w:rsid w:val="00AF32D0"/>
    <w:rsid w:val="00AF37BC"/>
    <w:rsid w:val="00AF3D9F"/>
    <w:rsid w:val="00AF3E94"/>
    <w:rsid w:val="00AF4CB3"/>
    <w:rsid w:val="00AF5A8D"/>
    <w:rsid w:val="00AF6AA0"/>
    <w:rsid w:val="00AF743E"/>
    <w:rsid w:val="00B00C0C"/>
    <w:rsid w:val="00B107AD"/>
    <w:rsid w:val="00B12B66"/>
    <w:rsid w:val="00B1318D"/>
    <w:rsid w:val="00B15291"/>
    <w:rsid w:val="00B173DD"/>
    <w:rsid w:val="00B246D3"/>
    <w:rsid w:val="00B24A4E"/>
    <w:rsid w:val="00B262BE"/>
    <w:rsid w:val="00B27E45"/>
    <w:rsid w:val="00B37B08"/>
    <w:rsid w:val="00B405DC"/>
    <w:rsid w:val="00B426A2"/>
    <w:rsid w:val="00B444D2"/>
    <w:rsid w:val="00B51D1B"/>
    <w:rsid w:val="00B5633F"/>
    <w:rsid w:val="00B566BC"/>
    <w:rsid w:val="00B61FE9"/>
    <w:rsid w:val="00B623EA"/>
    <w:rsid w:val="00B62C24"/>
    <w:rsid w:val="00B63F1B"/>
    <w:rsid w:val="00B64D6E"/>
    <w:rsid w:val="00B656F8"/>
    <w:rsid w:val="00B6591E"/>
    <w:rsid w:val="00B70169"/>
    <w:rsid w:val="00B71D06"/>
    <w:rsid w:val="00B74802"/>
    <w:rsid w:val="00B7518F"/>
    <w:rsid w:val="00B773D4"/>
    <w:rsid w:val="00B827F7"/>
    <w:rsid w:val="00B847FA"/>
    <w:rsid w:val="00B84979"/>
    <w:rsid w:val="00B8514F"/>
    <w:rsid w:val="00B904A8"/>
    <w:rsid w:val="00B91237"/>
    <w:rsid w:val="00B9133B"/>
    <w:rsid w:val="00B926AA"/>
    <w:rsid w:val="00BA0A74"/>
    <w:rsid w:val="00BA3ED8"/>
    <w:rsid w:val="00BA4901"/>
    <w:rsid w:val="00BA4BD2"/>
    <w:rsid w:val="00BB1095"/>
    <w:rsid w:val="00BB254D"/>
    <w:rsid w:val="00BB4C1F"/>
    <w:rsid w:val="00BB4E91"/>
    <w:rsid w:val="00BC0690"/>
    <w:rsid w:val="00BC5F98"/>
    <w:rsid w:val="00BC7238"/>
    <w:rsid w:val="00BD3ACC"/>
    <w:rsid w:val="00BD590D"/>
    <w:rsid w:val="00BD713F"/>
    <w:rsid w:val="00BD774D"/>
    <w:rsid w:val="00BE2D6F"/>
    <w:rsid w:val="00BE3FE0"/>
    <w:rsid w:val="00BE4C9A"/>
    <w:rsid w:val="00BE70BC"/>
    <w:rsid w:val="00BF1035"/>
    <w:rsid w:val="00BF1AAA"/>
    <w:rsid w:val="00BF2772"/>
    <w:rsid w:val="00BF503C"/>
    <w:rsid w:val="00BF5297"/>
    <w:rsid w:val="00BF68AE"/>
    <w:rsid w:val="00BF7493"/>
    <w:rsid w:val="00C06B51"/>
    <w:rsid w:val="00C06C4D"/>
    <w:rsid w:val="00C11687"/>
    <w:rsid w:val="00C130DA"/>
    <w:rsid w:val="00C148C1"/>
    <w:rsid w:val="00C225B7"/>
    <w:rsid w:val="00C22D4E"/>
    <w:rsid w:val="00C23CC0"/>
    <w:rsid w:val="00C24309"/>
    <w:rsid w:val="00C25880"/>
    <w:rsid w:val="00C25D52"/>
    <w:rsid w:val="00C275B6"/>
    <w:rsid w:val="00C320E4"/>
    <w:rsid w:val="00C32896"/>
    <w:rsid w:val="00C32DEE"/>
    <w:rsid w:val="00C33F4B"/>
    <w:rsid w:val="00C352B1"/>
    <w:rsid w:val="00C35DD6"/>
    <w:rsid w:val="00C3618A"/>
    <w:rsid w:val="00C41F99"/>
    <w:rsid w:val="00C421AA"/>
    <w:rsid w:val="00C42DEB"/>
    <w:rsid w:val="00C43240"/>
    <w:rsid w:val="00C4391D"/>
    <w:rsid w:val="00C43C5C"/>
    <w:rsid w:val="00C50592"/>
    <w:rsid w:val="00C56FC6"/>
    <w:rsid w:val="00C5713D"/>
    <w:rsid w:val="00C6171A"/>
    <w:rsid w:val="00C62FC7"/>
    <w:rsid w:val="00C671BD"/>
    <w:rsid w:val="00C67B7D"/>
    <w:rsid w:val="00C73512"/>
    <w:rsid w:val="00C74ECF"/>
    <w:rsid w:val="00C766B7"/>
    <w:rsid w:val="00C8062C"/>
    <w:rsid w:val="00C80812"/>
    <w:rsid w:val="00C84374"/>
    <w:rsid w:val="00C84C69"/>
    <w:rsid w:val="00C84D3A"/>
    <w:rsid w:val="00C85F6F"/>
    <w:rsid w:val="00C875BD"/>
    <w:rsid w:val="00C87D67"/>
    <w:rsid w:val="00C94D9C"/>
    <w:rsid w:val="00C97756"/>
    <w:rsid w:val="00C97A6A"/>
    <w:rsid w:val="00CA0B8A"/>
    <w:rsid w:val="00CA2996"/>
    <w:rsid w:val="00CA76AB"/>
    <w:rsid w:val="00CB0B3B"/>
    <w:rsid w:val="00CB1ACD"/>
    <w:rsid w:val="00CB43B1"/>
    <w:rsid w:val="00CC0EA4"/>
    <w:rsid w:val="00CC4070"/>
    <w:rsid w:val="00CC4DB8"/>
    <w:rsid w:val="00CC5313"/>
    <w:rsid w:val="00CD27C4"/>
    <w:rsid w:val="00CD67C1"/>
    <w:rsid w:val="00CD68B0"/>
    <w:rsid w:val="00CE1342"/>
    <w:rsid w:val="00CE1F57"/>
    <w:rsid w:val="00CE3260"/>
    <w:rsid w:val="00CE5EA5"/>
    <w:rsid w:val="00CF18C9"/>
    <w:rsid w:val="00CF45D8"/>
    <w:rsid w:val="00CF6ABB"/>
    <w:rsid w:val="00CF6D62"/>
    <w:rsid w:val="00CF790B"/>
    <w:rsid w:val="00D01DC4"/>
    <w:rsid w:val="00D075E9"/>
    <w:rsid w:val="00D07F21"/>
    <w:rsid w:val="00D11971"/>
    <w:rsid w:val="00D13209"/>
    <w:rsid w:val="00D2237E"/>
    <w:rsid w:val="00D24A40"/>
    <w:rsid w:val="00D27AE3"/>
    <w:rsid w:val="00D3057F"/>
    <w:rsid w:val="00D319F0"/>
    <w:rsid w:val="00D340CD"/>
    <w:rsid w:val="00D37032"/>
    <w:rsid w:val="00D448C7"/>
    <w:rsid w:val="00D45FDA"/>
    <w:rsid w:val="00D4753B"/>
    <w:rsid w:val="00D56CE0"/>
    <w:rsid w:val="00D6302F"/>
    <w:rsid w:val="00D64FF9"/>
    <w:rsid w:val="00D659D3"/>
    <w:rsid w:val="00D70ABB"/>
    <w:rsid w:val="00D721A4"/>
    <w:rsid w:val="00D77F0D"/>
    <w:rsid w:val="00D8281B"/>
    <w:rsid w:val="00D83695"/>
    <w:rsid w:val="00D8575D"/>
    <w:rsid w:val="00D862D9"/>
    <w:rsid w:val="00D94370"/>
    <w:rsid w:val="00D94F65"/>
    <w:rsid w:val="00D96FE3"/>
    <w:rsid w:val="00DA188C"/>
    <w:rsid w:val="00DA1980"/>
    <w:rsid w:val="00DA3051"/>
    <w:rsid w:val="00DA47AC"/>
    <w:rsid w:val="00DB00E6"/>
    <w:rsid w:val="00DB0385"/>
    <w:rsid w:val="00DB2749"/>
    <w:rsid w:val="00DB30B9"/>
    <w:rsid w:val="00DB4E76"/>
    <w:rsid w:val="00DC1F1F"/>
    <w:rsid w:val="00DC2F55"/>
    <w:rsid w:val="00DC40E1"/>
    <w:rsid w:val="00DC4EF5"/>
    <w:rsid w:val="00DC7FC7"/>
    <w:rsid w:val="00DD2640"/>
    <w:rsid w:val="00DD4CD8"/>
    <w:rsid w:val="00DE0810"/>
    <w:rsid w:val="00DE0DC5"/>
    <w:rsid w:val="00DE2B7A"/>
    <w:rsid w:val="00DE306F"/>
    <w:rsid w:val="00DE5640"/>
    <w:rsid w:val="00DF0125"/>
    <w:rsid w:val="00DF10A0"/>
    <w:rsid w:val="00DF1EAE"/>
    <w:rsid w:val="00DF238F"/>
    <w:rsid w:val="00DF3A25"/>
    <w:rsid w:val="00DF4087"/>
    <w:rsid w:val="00DF4188"/>
    <w:rsid w:val="00DF6A26"/>
    <w:rsid w:val="00E013C2"/>
    <w:rsid w:val="00E03000"/>
    <w:rsid w:val="00E038BD"/>
    <w:rsid w:val="00E05435"/>
    <w:rsid w:val="00E12935"/>
    <w:rsid w:val="00E1385B"/>
    <w:rsid w:val="00E17F56"/>
    <w:rsid w:val="00E214B7"/>
    <w:rsid w:val="00E218B6"/>
    <w:rsid w:val="00E21D27"/>
    <w:rsid w:val="00E21EAE"/>
    <w:rsid w:val="00E2544C"/>
    <w:rsid w:val="00E270F9"/>
    <w:rsid w:val="00E27A48"/>
    <w:rsid w:val="00E3689F"/>
    <w:rsid w:val="00E416C3"/>
    <w:rsid w:val="00E434A2"/>
    <w:rsid w:val="00E44730"/>
    <w:rsid w:val="00E52F97"/>
    <w:rsid w:val="00E5386D"/>
    <w:rsid w:val="00E55E6A"/>
    <w:rsid w:val="00E57ACF"/>
    <w:rsid w:val="00E60675"/>
    <w:rsid w:val="00E60AA2"/>
    <w:rsid w:val="00E610B1"/>
    <w:rsid w:val="00E713A1"/>
    <w:rsid w:val="00E7296C"/>
    <w:rsid w:val="00E74608"/>
    <w:rsid w:val="00E80F9C"/>
    <w:rsid w:val="00E8174C"/>
    <w:rsid w:val="00E81B3D"/>
    <w:rsid w:val="00E8750E"/>
    <w:rsid w:val="00E902C1"/>
    <w:rsid w:val="00E90C09"/>
    <w:rsid w:val="00E914FB"/>
    <w:rsid w:val="00E94187"/>
    <w:rsid w:val="00E9441E"/>
    <w:rsid w:val="00E953A0"/>
    <w:rsid w:val="00E9728F"/>
    <w:rsid w:val="00EA0EF0"/>
    <w:rsid w:val="00EA1C9A"/>
    <w:rsid w:val="00EA4E1B"/>
    <w:rsid w:val="00EA53E6"/>
    <w:rsid w:val="00EB42CC"/>
    <w:rsid w:val="00EC1194"/>
    <w:rsid w:val="00EC1A8A"/>
    <w:rsid w:val="00EC23E6"/>
    <w:rsid w:val="00EC441E"/>
    <w:rsid w:val="00EC7CA9"/>
    <w:rsid w:val="00ED0E00"/>
    <w:rsid w:val="00ED2BC8"/>
    <w:rsid w:val="00ED3187"/>
    <w:rsid w:val="00ED4636"/>
    <w:rsid w:val="00EE0252"/>
    <w:rsid w:val="00EE0594"/>
    <w:rsid w:val="00EE14F0"/>
    <w:rsid w:val="00EE2DBE"/>
    <w:rsid w:val="00EF0486"/>
    <w:rsid w:val="00EF278A"/>
    <w:rsid w:val="00EF29DF"/>
    <w:rsid w:val="00EF3161"/>
    <w:rsid w:val="00EF3A66"/>
    <w:rsid w:val="00F01C09"/>
    <w:rsid w:val="00F07C7A"/>
    <w:rsid w:val="00F10855"/>
    <w:rsid w:val="00F1183D"/>
    <w:rsid w:val="00F21B44"/>
    <w:rsid w:val="00F2432A"/>
    <w:rsid w:val="00F25924"/>
    <w:rsid w:val="00F26516"/>
    <w:rsid w:val="00F26AF3"/>
    <w:rsid w:val="00F46CD8"/>
    <w:rsid w:val="00F47281"/>
    <w:rsid w:val="00F50736"/>
    <w:rsid w:val="00F51B20"/>
    <w:rsid w:val="00F534BF"/>
    <w:rsid w:val="00F61162"/>
    <w:rsid w:val="00F611E4"/>
    <w:rsid w:val="00F648BE"/>
    <w:rsid w:val="00F67A72"/>
    <w:rsid w:val="00F67C39"/>
    <w:rsid w:val="00F70505"/>
    <w:rsid w:val="00F70910"/>
    <w:rsid w:val="00F70E78"/>
    <w:rsid w:val="00F81B27"/>
    <w:rsid w:val="00F82710"/>
    <w:rsid w:val="00F8277D"/>
    <w:rsid w:val="00F850D1"/>
    <w:rsid w:val="00F90C2B"/>
    <w:rsid w:val="00FA0AA7"/>
    <w:rsid w:val="00FB0537"/>
    <w:rsid w:val="00FB2E9C"/>
    <w:rsid w:val="00FB3A79"/>
    <w:rsid w:val="00FB450D"/>
    <w:rsid w:val="00FB4AAB"/>
    <w:rsid w:val="00FC17E7"/>
    <w:rsid w:val="00FC2172"/>
    <w:rsid w:val="00FC4AF9"/>
    <w:rsid w:val="00FC4B69"/>
    <w:rsid w:val="00FC4C32"/>
    <w:rsid w:val="00FD11AB"/>
    <w:rsid w:val="00FD61EE"/>
    <w:rsid w:val="00FD69EE"/>
    <w:rsid w:val="00FE2D5E"/>
    <w:rsid w:val="00FE475F"/>
    <w:rsid w:val="00FE52B0"/>
    <w:rsid w:val="00FF43A7"/>
    <w:rsid w:val="00FF49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18BD"/>
    <w:pPr>
      <w:jc w:val="both"/>
    </w:pPr>
    <w:rPr>
      <w:rFonts w:ascii="Arial" w:hAnsi="Arial"/>
      <w:sz w:val="24"/>
      <w:szCs w:val="24"/>
    </w:rPr>
  </w:style>
  <w:style w:type="paragraph" w:styleId="Ttulo1">
    <w:name w:val="heading 1"/>
    <w:basedOn w:val="Normal"/>
    <w:next w:val="Normal"/>
    <w:link w:val="Ttulo1Car"/>
    <w:uiPriority w:val="99"/>
    <w:qFormat/>
    <w:rsid w:val="003C69E7"/>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47281"/>
    <w:pPr>
      <w:keepNext/>
      <w:numPr>
        <w:numId w:val="27"/>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42368"/>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EC1A8A"/>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EC1A8A"/>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EC1A8A"/>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EC1A8A"/>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9"/>
    <w:qFormat/>
    <w:rsid w:val="00EC1A8A"/>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9"/>
    <w:qFormat/>
    <w:rsid w:val="00EC1A8A"/>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C69E7"/>
    <w:rPr>
      <w:rFonts w:ascii="Cambria" w:hAnsi="Cambria" w:cs="Times New Roman"/>
      <w:b/>
      <w:kern w:val="32"/>
      <w:sz w:val="32"/>
    </w:rPr>
  </w:style>
  <w:style w:type="character" w:customStyle="1" w:styleId="Ttulo2Car">
    <w:name w:val="Título 2 Car"/>
    <w:basedOn w:val="Fuentedeprrafopredeter"/>
    <w:link w:val="Ttulo2"/>
    <w:uiPriority w:val="99"/>
    <w:locked/>
    <w:rsid w:val="00F47281"/>
    <w:rPr>
      <w:rFonts w:ascii="Cambria" w:hAnsi="Cambria" w:cs="Times New Roman"/>
      <w:b/>
      <w:bCs/>
      <w:i/>
      <w:iCs/>
      <w:sz w:val="28"/>
      <w:szCs w:val="28"/>
    </w:rPr>
  </w:style>
  <w:style w:type="character" w:customStyle="1" w:styleId="Ttulo3Car">
    <w:name w:val="Título 3 Car"/>
    <w:basedOn w:val="Fuentedeprrafopredeter"/>
    <w:link w:val="Ttulo3"/>
    <w:uiPriority w:val="99"/>
    <w:locked/>
    <w:rsid w:val="00742368"/>
    <w:rPr>
      <w:rFonts w:ascii="Cambria" w:hAnsi="Cambria" w:cs="Times New Roman"/>
      <w:b/>
      <w:sz w:val="26"/>
    </w:rPr>
  </w:style>
  <w:style w:type="character" w:customStyle="1" w:styleId="Ttulo4Car">
    <w:name w:val="Título 4 Car"/>
    <w:basedOn w:val="Fuentedeprrafopredeter"/>
    <w:link w:val="Ttulo4"/>
    <w:uiPriority w:val="99"/>
    <w:locked/>
    <w:rsid w:val="00EC1A8A"/>
    <w:rPr>
      <w:rFonts w:ascii="Calibri" w:hAnsi="Calibri" w:cs="Times New Roman"/>
      <w:b/>
      <w:sz w:val="28"/>
    </w:rPr>
  </w:style>
  <w:style w:type="character" w:customStyle="1" w:styleId="Ttulo5Car">
    <w:name w:val="Título 5 Car"/>
    <w:basedOn w:val="Fuentedeprrafopredeter"/>
    <w:link w:val="Ttulo5"/>
    <w:uiPriority w:val="99"/>
    <w:locked/>
    <w:rsid w:val="00EC1A8A"/>
    <w:rPr>
      <w:rFonts w:ascii="Calibri" w:hAnsi="Calibri" w:cs="Times New Roman"/>
      <w:b/>
      <w:i/>
      <w:sz w:val="26"/>
    </w:rPr>
  </w:style>
  <w:style w:type="character" w:customStyle="1" w:styleId="Ttulo6Car">
    <w:name w:val="Título 6 Car"/>
    <w:basedOn w:val="Fuentedeprrafopredeter"/>
    <w:link w:val="Ttulo6"/>
    <w:uiPriority w:val="99"/>
    <w:locked/>
    <w:rsid w:val="00EC1A8A"/>
    <w:rPr>
      <w:rFonts w:ascii="Calibri" w:hAnsi="Calibri" w:cs="Times New Roman"/>
      <w:b/>
      <w:sz w:val="22"/>
    </w:rPr>
  </w:style>
  <w:style w:type="character" w:customStyle="1" w:styleId="Ttulo7Car">
    <w:name w:val="Título 7 Car"/>
    <w:basedOn w:val="Fuentedeprrafopredeter"/>
    <w:link w:val="Ttulo7"/>
    <w:uiPriority w:val="99"/>
    <w:locked/>
    <w:rsid w:val="00EC1A8A"/>
    <w:rPr>
      <w:rFonts w:ascii="Calibri" w:hAnsi="Calibri" w:cs="Times New Roman"/>
      <w:sz w:val="24"/>
    </w:rPr>
  </w:style>
  <w:style w:type="character" w:customStyle="1" w:styleId="Ttulo8Car">
    <w:name w:val="Título 8 Car"/>
    <w:basedOn w:val="Fuentedeprrafopredeter"/>
    <w:link w:val="Ttulo8"/>
    <w:uiPriority w:val="99"/>
    <w:locked/>
    <w:rsid w:val="00EC1A8A"/>
    <w:rPr>
      <w:rFonts w:ascii="Calibri" w:hAnsi="Calibri" w:cs="Times New Roman"/>
      <w:i/>
      <w:sz w:val="24"/>
    </w:rPr>
  </w:style>
  <w:style w:type="character" w:customStyle="1" w:styleId="Ttulo9Car">
    <w:name w:val="Título 9 Car"/>
    <w:basedOn w:val="Fuentedeprrafopredeter"/>
    <w:link w:val="Ttulo9"/>
    <w:uiPriority w:val="99"/>
    <w:locked/>
    <w:rsid w:val="00EC1A8A"/>
    <w:rPr>
      <w:rFonts w:ascii="Cambria" w:hAnsi="Cambria" w:cs="Times New Roman"/>
      <w:sz w:val="22"/>
    </w:rPr>
  </w:style>
  <w:style w:type="paragraph" w:styleId="Encabezado">
    <w:name w:val="header"/>
    <w:basedOn w:val="Normal"/>
    <w:link w:val="EncabezadoCar"/>
    <w:uiPriority w:val="99"/>
    <w:rsid w:val="003B4BB6"/>
    <w:pPr>
      <w:tabs>
        <w:tab w:val="center" w:pos="4252"/>
        <w:tab w:val="right" w:pos="8504"/>
      </w:tabs>
    </w:pPr>
  </w:style>
  <w:style w:type="character" w:customStyle="1" w:styleId="EncabezadoCar">
    <w:name w:val="Encabezado Car"/>
    <w:basedOn w:val="Fuentedeprrafopredeter"/>
    <w:link w:val="Encabezado"/>
    <w:uiPriority w:val="99"/>
    <w:semiHidden/>
    <w:locked/>
    <w:rsid w:val="00931941"/>
    <w:rPr>
      <w:rFonts w:ascii="Arial" w:hAnsi="Arial" w:cs="Times New Roman"/>
      <w:sz w:val="24"/>
    </w:rPr>
  </w:style>
  <w:style w:type="paragraph" w:styleId="Piedepgina">
    <w:name w:val="footer"/>
    <w:basedOn w:val="Normal"/>
    <w:link w:val="PiedepginaCar"/>
    <w:uiPriority w:val="99"/>
    <w:rsid w:val="001E18BD"/>
    <w:pPr>
      <w:tabs>
        <w:tab w:val="center" w:pos="4252"/>
        <w:tab w:val="right" w:pos="8504"/>
      </w:tabs>
    </w:pPr>
    <w:rPr>
      <w:sz w:val="18"/>
    </w:rPr>
  </w:style>
  <w:style w:type="character" w:customStyle="1" w:styleId="PiedepginaCar">
    <w:name w:val="Pie de página Car"/>
    <w:basedOn w:val="Fuentedeprrafopredeter"/>
    <w:link w:val="Piedepgina"/>
    <w:uiPriority w:val="99"/>
    <w:locked/>
    <w:rsid w:val="001E18BD"/>
    <w:rPr>
      <w:rFonts w:ascii="Arial" w:hAnsi="Arial" w:cs="Times New Roman"/>
      <w:sz w:val="24"/>
    </w:rPr>
  </w:style>
  <w:style w:type="character" w:styleId="Hipervnculo">
    <w:name w:val="Hyperlink"/>
    <w:basedOn w:val="Fuentedeprrafopredeter"/>
    <w:uiPriority w:val="99"/>
    <w:rsid w:val="002E23F9"/>
    <w:rPr>
      <w:rFonts w:cs="Times New Roman"/>
      <w:color w:val="0000FF"/>
      <w:u w:val="single"/>
    </w:rPr>
  </w:style>
  <w:style w:type="paragraph" w:styleId="Textodeglobo">
    <w:name w:val="Balloon Text"/>
    <w:basedOn w:val="Normal"/>
    <w:link w:val="TextodegloboCar"/>
    <w:uiPriority w:val="99"/>
    <w:semiHidden/>
    <w:rsid w:val="00647B7A"/>
    <w:rPr>
      <w:rFonts w:ascii="Times New Roman" w:hAnsi="Times New Roman"/>
      <w:sz w:val="2"/>
      <w:szCs w:val="20"/>
    </w:rPr>
  </w:style>
  <w:style w:type="character" w:customStyle="1" w:styleId="TextodegloboCar">
    <w:name w:val="Texto de globo Car"/>
    <w:basedOn w:val="Fuentedeprrafopredeter"/>
    <w:link w:val="Textodeglobo"/>
    <w:uiPriority w:val="99"/>
    <w:semiHidden/>
    <w:locked/>
    <w:rsid w:val="00931941"/>
    <w:rPr>
      <w:rFonts w:cs="Times New Roman"/>
      <w:sz w:val="2"/>
    </w:rPr>
  </w:style>
  <w:style w:type="table" w:styleId="Cuadrculamedia1-nfasis2">
    <w:name w:val="Medium Grid 1 Accent 2"/>
    <w:basedOn w:val="Tablanormal"/>
    <w:uiPriority w:val="99"/>
    <w:rsid w:val="00C148C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TDC1">
    <w:name w:val="toc 1"/>
    <w:basedOn w:val="Normal"/>
    <w:next w:val="Normal"/>
    <w:autoRedefine/>
    <w:uiPriority w:val="99"/>
    <w:rsid w:val="0046272A"/>
    <w:pPr>
      <w:tabs>
        <w:tab w:val="left" w:pos="440"/>
        <w:tab w:val="right" w:leader="dot" w:pos="10196"/>
      </w:tabs>
      <w:spacing w:line="360" w:lineRule="auto"/>
    </w:pPr>
    <w:rPr>
      <w:rFonts w:cs="Arial"/>
      <w:noProof/>
      <w:sz w:val="20"/>
    </w:rPr>
  </w:style>
  <w:style w:type="paragraph" w:styleId="TDC2">
    <w:name w:val="toc 2"/>
    <w:basedOn w:val="Normal"/>
    <w:next w:val="Normal"/>
    <w:autoRedefine/>
    <w:uiPriority w:val="99"/>
    <w:rsid w:val="00AC488C"/>
    <w:pPr>
      <w:tabs>
        <w:tab w:val="left" w:pos="660"/>
        <w:tab w:val="right" w:leader="dot" w:pos="10621"/>
      </w:tabs>
      <w:spacing w:line="360" w:lineRule="auto"/>
      <w:ind w:left="238"/>
    </w:pPr>
    <w:rPr>
      <w:sz w:val="20"/>
    </w:rPr>
  </w:style>
  <w:style w:type="character" w:styleId="Refdecomentario">
    <w:name w:val="annotation reference"/>
    <w:basedOn w:val="Fuentedeprrafopredeter"/>
    <w:uiPriority w:val="99"/>
    <w:rsid w:val="008C58BE"/>
    <w:rPr>
      <w:rFonts w:cs="Times New Roman"/>
      <w:sz w:val="16"/>
    </w:rPr>
  </w:style>
  <w:style w:type="paragraph" w:styleId="Textocomentario">
    <w:name w:val="annotation text"/>
    <w:basedOn w:val="Normal"/>
    <w:link w:val="TextocomentarioCar"/>
    <w:uiPriority w:val="99"/>
    <w:rsid w:val="008C58BE"/>
    <w:pPr>
      <w:jc w:val="left"/>
    </w:pPr>
    <w:rPr>
      <w:rFonts w:ascii="Times New Roman" w:hAnsi="Times New Roman"/>
      <w:sz w:val="20"/>
      <w:szCs w:val="20"/>
      <w:lang w:val="ca-ES" w:eastAsia="en-US"/>
    </w:rPr>
  </w:style>
  <w:style w:type="character" w:customStyle="1" w:styleId="TextocomentarioCar">
    <w:name w:val="Texto comentario Car"/>
    <w:basedOn w:val="Fuentedeprrafopredeter"/>
    <w:link w:val="Textocomentario"/>
    <w:uiPriority w:val="99"/>
    <w:locked/>
    <w:rsid w:val="008C58BE"/>
    <w:rPr>
      <w:rFonts w:cs="Times New Roman"/>
      <w:lang w:val="ca-ES" w:eastAsia="en-US"/>
    </w:rPr>
  </w:style>
  <w:style w:type="paragraph" w:customStyle="1" w:styleId="Default">
    <w:name w:val="Default"/>
    <w:uiPriority w:val="99"/>
    <w:rsid w:val="00F2432A"/>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uiPriority w:val="99"/>
    <w:rsid w:val="007D7B41"/>
    <w:pPr>
      <w:spacing w:after="200" w:line="276" w:lineRule="auto"/>
      <w:ind w:left="720"/>
      <w:contextualSpacing/>
      <w:jc w:val="left"/>
    </w:pPr>
    <w:rPr>
      <w:rFonts w:ascii="Calibri" w:hAnsi="Calibri"/>
      <w:sz w:val="22"/>
      <w:szCs w:val="22"/>
    </w:rPr>
  </w:style>
  <w:style w:type="paragraph" w:customStyle="1" w:styleId="Prrafodelista2">
    <w:name w:val="Párrafo de lista2"/>
    <w:basedOn w:val="Normal"/>
    <w:uiPriority w:val="99"/>
    <w:rsid w:val="009E2C96"/>
    <w:pPr>
      <w:spacing w:after="200" w:line="276" w:lineRule="auto"/>
      <w:ind w:left="720"/>
      <w:contextualSpacing/>
      <w:jc w:val="left"/>
    </w:pPr>
    <w:rPr>
      <w:rFonts w:ascii="Calibri" w:hAnsi="Calibri"/>
      <w:sz w:val="22"/>
      <w:szCs w:val="22"/>
    </w:rPr>
  </w:style>
  <w:style w:type="paragraph" w:styleId="Textonotapie">
    <w:name w:val="footnote text"/>
    <w:basedOn w:val="Normal"/>
    <w:link w:val="TextonotapieCar"/>
    <w:uiPriority w:val="99"/>
    <w:rsid w:val="00087A20"/>
    <w:rPr>
      <w:sz w:val="20"/>
      <w:szCs w:val="20"/>
    </w:rPr>
  </w:style>
  <w:style w:type="character" w:customStyle="1" w:styleId="TextonotapieCar">
    <w:name w:val="Texto nota pie Car"/>
    <w:basedOn w:val="Fuentedeprrafopredeter"/>
    <w:link w:val="Textonotapie"/>
    <w:uiPriority w:val="99"/>
    <w:locked/>
    <w:rsid w:val="00087A20"/>
    <w:rPr>
      <w:rFonts w:ascii="Arial" w:hAnsi="Arial" w:cs="Times New Roman"/>
    </w:rPr>
  </w:style>
  <w:style w:type="character" w:styleId="Refdenotaalpie">
    <w:name w:val="footnote reference"/>
    <w:basedOn w:val="Fuentedeprrafopredeter"/>
    <w:uiPriority w:val="99"/>
    <w:rsid w:val="00087A20"/>
    <w:rPr>
      <w:rFonts w:cs="Times New Roman"/>
      <w:vertAlign w:val="superscript"/>
    </w:rPr>
  </w:style>
  <w:style w:type="paragraph" w:customStyle="1" w:styleId="Body1">
    <w:name w:val="Body 1"/>
    <w:uiPriority w:val="99"/>
    <w:rsid w:val="00F01C09"/>
    <w:pPr>
      <w:spacing w:after="200" w:line="276" w:lineRule="auto"/>
      <w:outlineLvl w:val="0"/>
    </w:pPr>
    <w:rPr>
      <w:rFonts w:ascii="Helvetica" w:hAnsi="Helvetica"/>
      <w:color w:val="000000"/>
      <w:sz w:val="22"/>
      <w:u w:color="000000"/>
    </w:rPr>
  </w:style>
  <w:style w:type="paragraph" w:styleId="Textonotaalfinal">
    <w:name w:val="endnote text"/>
    <w:basedOn w:val="Normal"/>
    <w:link w:val="TextonotaalfinalCar"/>
    <w:uiPriority w:val="99"/>
    <w:rsid w:val="005E4952"/>
    <w:rPr>
      <w:sz w:val="20"/>
      <w:szCs w:val="20"/>
    </w:rPr>
  </w:style>
  <w:style w:type="character" w:customStyle="1" w:styleId="TextonotaalfinalCar">
    <w:name w:val="Texto nota al final Car"/>
    <w:basedOn w:val="Fuentedeprrafopredeter"/>
    <w:link w:val="Textonotaalfinal"/>
    <w:uiPriority w:val="99"/>
    <w:locked/>
    <w:rsid w:val="005E4952"/>
    <w:rPr>
      <w:rFonts w:ascii="Arial" w:hAnsi="Arial" w:cs="Times New Roman"/>
    </w:rPr>
  </w:style>
  <w:style w:type="character" w:styleId="Refdenotaalfinal">
    <w:name w:val="endnote reference"/>
    <w:basedOn w:val="Fuentedeprrafopredeter"/>
    <w:uiPriority w:val="99"/>
    <w:rsid w:val="005E4952"/>
    <w:rPr>
      <w:rFonts w:cs="Times New Roman"/>
      <w:vertAlign w:val="superscript"/>
    </w:rPr>
  </w:style>
  <w:style w:type="paragraph" w:customStyle="1" w:styleId="Pa7">
    <w:name w:val="Pa7"/>
    <w:basedOn w:val="Normal"/>
    <w:next w:val="Normal"/>
    <w:uiPriority w:val="99"/>
    <w:rsid w:val="00247C80"/>
    <w:pPr>
      <w:autoSpaceDE w:val="0"/>
      <w:autoSpaceDN w:val="0"/>
      <w:adjustRightInd w:val="0"/>
      <w:spacing w:line="201" w:lineRule="atLeast"/>
      <w:jc w:val="left"/>
    </w:pPr>
    <w:rPr>
      <w:rFonts w:ascii="Garamond" w:hAnsi="Garamond"/>
      <w:lang w:eastAsia="en-US"/>
    </w:rPr>
  </w:style>
  <w:style w:type="character" w:customStyle="1" w:styleId="A13">
    <w:name w:val="A13"/>
    <w:uiPriority w:val="99"/>
    <w:rsid w:val="00C67B7D"/>
    <w:rPr>
      <w:b/>
      <w:color w:val="000000"/>
      <w:sz w:val="22"/>
    </w:rPr>
  </w:style>
  <w:style w:type="paragraph" w:styleId="Textoindependiente">
    <w:name w:val="Body Text"/>
    <w:basedOn w:val="Normal"/>
    <w:link w:val="TextoindependienteCar"/>
    <w:uiPriority w:val="99"/>
    <w:rsid w:val="00BE2D6F"/>
  </w:style>
  <w:style w:type="character" w:customStyle="1" w:styleId="TextoindependienteCar">
    <w:name w:val="Texto independiente Car"/>
    <w:basedOn w:val="Fuentedeprrafopredeter"/>
    <w:link w:val="Textoindependiente"/>
    <w:uiPriority w:val="99"/>
    <w:semiHidden/>
    <w:locked/>
    <w:rsid w:val="00C80812"/>
    <w:rPr>
      <w:rFonts w:ascii="Arial" w:hAnsi="Arial" w:cs="Times New Roman"/>
      <w:sz w:val="24"/>
    </w:rPr>
  </w:style>
  <w:style w:type="paragraph" w:styleId="NormalWeb">
    <w:name w:val="Normal (Web)"/>
    <w:basedOn w:val="Normal"/>
    <w:uiPriority w:val="99"/>
    <w:rsid w:val="003C0EA8"/>
    <w:pPr>
      <w:spacing w:before="100" w:beforeAutospacing="1" w:after="100" w:afterAutospacing="1"/>
      <w:jc w:val="left"/>
    </w:pPr>
    <w:rPr>
      <w:rFonts w:ascii="Times New Roman" w:hAnsi="Times New Roman"/>
    </w:rPr>
  </w:style>
  <w:style w:type="paragraph" w:styleId="z-Principiodelformulario">
    <w:name w:val="HTML Top of Form"/>
    <w:basedOn w:val="Normal"/>
    <w:next w:val="Normal"/>
    <w:link w:val="z-PrincipiodelformularioCar"/>
    <w:hidden/>
    <w:uiPriority w:val="99"/>
    <w:rsid w:val="003C0EA8"/>
    <w:pPr>
      <w:pBdr>
        <w:bottom w:val="single" w:sz="6" w:space="1" w:color="auto"/>
      </w:pBdr>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locked/>
    <w:rsid w:val="00C80812"/>
    <w:rPr>
      <w:rFonts w:ascii="Arial" w:hAnsi="Arial" w:cs="Times New Roman"/>
      <w:vanish/>
      <w:sz w:val="16"/>
    </w:rPr>
  </w:style>
  <w:style w:type="paragraph" w:styleId="z-Finaldelformulario">
    <w:name w:val="HTML Bottom of Form"/>
    <w:basedOn w:val="Normal"/>
    <w:next w:val="Normal"/>
    <w:link w:val="z-FinaldelformularioCar"/>
    <w:hidden/>
    <w:uiPriority w:val="99"/>
    <w:rsid w:val="003C0EA8"/>
    <w:pPr>
      <w:pBdr>
        <w:top w:val="single" w:sz="6" w:space="1" w:color="auto"/>
      </w:pBdr>
      <w:jc w:val="center"/>
    </w:pPr>
    <w:rPr>
      <w:vanish/>
      <w:sz w:val="16"/>
      <w:szCs w:val="16"/>
    </w:rPr>
  </w:style>
  <w:style w:type="character" w:customStyle="1" w:styleId="z-FinaldelformularioCar">
    <w:name w:val="z-Final del formulario Car"/>
    <w:basedOn w:val="Fuentedeprrafopredeter"/>
    <w:link w:val="z-Finaldelformulario"/>
    <w:uiPriority w:val="99"/>
    <w:semiHidden/>
    <w:locked/>
    <w:rsid w:val="00C80812"/>
    <w:rPr>
      <w:rFonts w:ascii="Arial" w:hAnsi="Arial" w:cs="Times New Roman"/>
      <w:vanish/>
      <w:sz w:val="16"/>
    </w:rPr>
  </w:style>
  <w:style w:type="paragraph" w:customStyle="1" w:styleId="login-txt">
    <w:name w:val="login-txt"/>
    <w:basedOn w:val="Normal"/>
    <w:uiPriority w:val="99"/>
    <w:rsid w:val="003C0EA8"/>
    <w:pPr>
      <w:spacing w:before="100" w:beforeAutospacing="1" w:after="100" w:afterAutospacing="1"/>
      <w:jc w:val="left"/>
    </w:pPr>
    <w:rPr>
      <w:rFonts w:ascii="Times New Roman" w:hAnsi="Times New Roman"/>
    </w:rPr>
  </w:style>
  <w:style w:type="character" w:styleId="Textoennegrita">
    <w:name w:val="Strong"/>
    <w:basedOn w:val="Fuentedeprrafopredeter"/>
    <w:uiPriority w:val="99"/>
    <w:qFormat/>
    <w:locked/>
    <w:rsid w:val="003C0EA8"/>
    <w:rPr>
      <w:rFonts w:cs="Times New Roman"/>
      <w:b/>
    </w:rPr>
  </w:style>
  <w:style w:type="character" w:customStyle="1" w:styleId="divider">
    <w:name w:val="divider"/>
    <w:uiPriority w:val="99"/>
    <w:rsid w:val="003C0EA8"/>
  </w:style>
  <w:style w:type="character" w:customStyle="1" w:styleId="journalname">
    <w:name w:val="journalname"/>
    <w:uiPriority w:val="99"/>
    <w:rsid w:val="003C0EA8"/>
  </w:style>
  <w:style w:type="character" w:customStyle="1" w:styleId="doi">
    <w:name w:val="doi"/>
    <w:uiPriority w:val="99"/>
    <w:rsid w:val="003C0EA8"/>
  </w:style>
  <w:style w:type="character" w:customStyle="1" w:styleId="authorfn">
    <w:name w:val="author fn"/>
    <w:uiPriority w:val="99"/>
    <w:rsid w:val="003C0EA8"/>
  </w:style>
  <w:style w:type="paragraph" w:customStyle="1" w:styleId="Cuerpo">
    <w:name w:val="Cuerpo"/>
    <w:uiPriority w:val="99"/>
    <w:rsid w:val="00420E64"/>
    <w:rPr>
      <w:rFonts w:ascii="Helvetica" w:eastAsia="ヒラギノ角ゴ Pro W3" w:hAnsi="Helvetica"/>
      <w:color w:val="000000"/>
      <w:sz w:val="24"/>
      <w:lang w:val="es-ES_tradnl" w:eastAsia="es-ES_tradnl"/>
    </w:rPr>
  </w:style>
  <w:style w:type="character" w:styleId="Hipervnculovisitado">
    <w:name w:val="FollowedHyperlink"/>
    <w:basedOn w:val="Fuentedeprrafopredeter"/>
    <w:uiPriority w:val="99"/>
    <w:semiHidden/>
    <w:rsid w:val="001E18BD"/>
    <w:rPr>
      <w:rFonts w:cs="Times New Roman"/>
      <w:color w:val="800080"/>
      <w:u w:val="single"/>
    </w:rPr>
  </w:style>
  <w:style w:type="paragraph" w:styleId="Asuntodelcomentario">
    <w:name w:val="annotation subject"/>
    <w:basedOn w:val="Textocomentario"/>
    <w:next w:val="Textocomentario"/>
    <w:link w:val="AsuntodelcomentarioCar"/>
    <w:uiPriority w:val="99"/>
    <w:semiHidden/>
    <w:rsid w:val="0019719E"/>
    <w:pPr>
      <w:jc w:val="both"/>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locked/>
    <w:rsid w:val="00C148C1"/>
    <w:rPr>
      <w:rFonts w:ascii="Arial" w:hAnsi="Arial"/>
      <w:b/>
      <w:bCs/>
    </w:rPr>
  </w:style>
  <w:style w:type="table" w:styleId="Tablaconcuadrcula">
    <w:name w:val="Table Grid"/>
    <w:basedOn w:val="Tablanormal"/>
    <w:uiPriority w:val="99"/>
    <w:locked/>
    <w:rsid w:val="00330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vistosa-nfasis1">
    <w:name w:val="Colorful List Accent 1"/>
    <w:basedOn w:val="Tablanormal"/>
    <w:uiPriority w:val="99"/>
    <w:rsid w:val="00C148C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Prrafodelista">
    <w:name w:val="List Paragraph"/>
    <w:basedOn w:val="Normal"/>
    <w:uiPriority w:val="99"/>
    <w:qFormat/>
    <w:rsid w:val="009A7C55"/>
    <w:pPr>
      <w:ind w:left="720"/>
      <w:contextualSpacing/>
    </w:pPr>
  </w:style>
  <w:style w:type="character" w:customStyle="1" w:styleId="CarCar4">
    <w:name w:val="Car Car4"/>
    <w:uiPriority w:val="99"/>
    <w:locked/>
    <w:rsid w:val="007E1679"/>
    <w:rPr>
      <w:rFonts w:ascii="Arial" w:hAnsi="Arial"/>
    </w:rPr>
  </w:style>
</w:styles>
</file>

<file path=word/webSettings.xml><?xml version="1.0" encoding="utf-8"?>
<w:webSettings xmlns:r="http://schemas.openxmlformats.org/officeDocument/2006/relationships" xmlns:w="http://schemas.openxmlformats.org/wordprocessingml/2006/main">
  <w:divs>
    <w:div w:id="526672915">
      <w:marLeft w:val="0"/>
      <w:marRight w:val="0"/>
      <w:marTop w:val="0"/>
      <w:marBottom w:val="0"/>
      <w:divBdr>
        <w:top w:val="none" w:sz="0" w:space="0" w:color="auto"/>
        <w:left w:val="none" w:sz="0" w:space="0" w:color="auto"/>
        <w:bottom w:val="none" w:sz="0" w:space="0" w:color="auto"/>
        <w:right w:val="none" w:sz="0" w:space="0" w:color="auto"/>
      </w:divBdr>
      <w:divsChild>
        <w:div w:id="526672930">
          <w:marLeft w:val="0"/>
          <w:marRight w:val="0"/>
          <w:marTop w:val="0"/>
          <w:marBottom w:val="0"/>
          <w:divBdr>
            <w:top w:val="none" w:sz="0" w:space="0" w:color="auto"/>
            <w:left w:val="none" w:sz="0" w:space="0" w:color="auto"/>
            <w:bottom w:val="none" w:sz="0" w:space="0" w:color="auto"/>
            <w:right w:val="none" w:sz="0" w:space="0" w:color="auto"/>
          </w:divBdr>
        </w:div>
      </w:divsChild>
    </w:div>
    <w:div w:id="526672920">
      <w:marLeft w:val="0"/>
      <w:marRight w:val="0"/>
      <w:marTop w:val="0"/>
      <w:marBottom w:val="0"/>
      <w:divBdr>
        <w:top w:val="none" w:sz="0" w:space="0" w:color="auto"/>
        <w:left w:val="none" w:sz="0" w:space="0" w:color="auto"/>
        <w:bottom w:val="none" w:sz="0" w:space="0" w:color="auto"/>
        <w:right w:val="none" w:sz="0" w:space="0" w:color="auto"/>
      </w:divBdr>
      <w:divsChild>
        <w:div w:id="526672946">
          <w:marLeft w:val="0"/>
          <w:marRight w:val="0"/>
          <w:marTop w:val="0"/>
          <w:marBottom w:val="0"/>
          <w:divBdr>
            <w:top w:val="none" w:sz="0" w:space="0" w:color="auto"/>
            <w:left w:val="none" w:sz="0" w:space="0" w:color="auto"/>
            <w:bottom w:val="none" w:sz="0" w:space="0" w:color="auto"/>
            <w:right w:val="none" w:sz="0" w:space="0" w:color="auto"/>
          </w:divBdr>
          <w:divsChild>
            <w:div w:id="526672916">
              <w:marLeft w:val="0"/>
              <w:marRight w:val="0"/>
              <w:marTop w:val="0"/>
              <w:marBottom w:val="0"/>
              <w:divBdr>
                <w:top w:val="none" w:sz="0" w:space="0" w:color="auto"/>
                <w:left w:val="none" w:sz="0" w:space="0" w:color="auto"/>
                <w:bottom w:val="none" w:sz="0" w:space="0" w:color="auto"/>
                <w:right w:val="none" w:sz="0" w:space="0" w:color="auto"/>
              </w:divBdr>
            </w:div>
            <w:div w:id="526672933">
              <w:marLeft w:val="0"/>
              <w:marRight w:val="0"/>
              <w:marTop w:val="0"/>
              <w:marBottom w:val="0"/>
              <w:divBdr>
                <w:top w:val="none" w:sz="0" w:space="0" w:color="auto"/>
                <w:left w:val="none" w:sz="0" w:space="0" w:color="auto"/>
                <w:bottom w:val="none" w:sz="0" w:space="0" w:color="auto"/>
                <w:right w:val="none" w:sz="0" w:space="0" w:color="auto"/>
              </w:divBdr>
            </w:div>
            <w:div w:id="526672935">
              <w:marLeft w:val="0"/>
              <w:marRight w:val="0"/>
              <w:marTop w:val="0"/>
              <w:marBottom w:val="0"/>
              <w:divBdr>
                <w:top w:val="none" w:sz="0" w:space="0" w:color="auto"/>
                <w:left w:val="none" w:sz="0" w:space="0" w:color="auto"/>
                <w:bottom w:val="none" w:sz="0" w:space="0" w:color="auto"/>
                <w:right w:val="none" w:sz="0" w:space="0" w:color="auto"/>
              </w:divBdr>
            </w:div>
            <w:div w:id="526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34">
      <w:marLeft w:val="0"/>
      <w:marRight w:val="0"/>
      <w:marTop w:val="0"/>
      <w:marBottom w:val="0"/>
      <w:divBdr>
        <w:top w:val="none" w:sz="0" w:space="0" w:color="auto"/>
        <w:left w:val="none" w:sz="0" w:space="0" w:color="auto"/>
        <w:bottom w:val="none" w:sz="0" w:space="0" w:color="auto"/>
        <w:right w:val="none" w:sz="0" w:space="0" w:color="auto"/>
      </w:divBdr>
      <w:divsChild>
        <w:div w:id="526672927">
          <w:marLeft w:val="0"/>
          <w:marRight w:val="0"/>
          <w:marTop w:val="0"/>
          <w:marBottom w:val="0"/>
          <w:divBdr>
            <w:top w:val="none" w:sz="0" w:space="0" w:color="auto"/>
            <w:left w:val="none" w:sz="0" w:space="0" w:color="auto"/>
            <w:bottom w:val="none" w:sz="0" w:space="0" w:color="auto"/>
            <w:right w:val="none" w:sz="0" w:space="0" w:color="auto"/>
          </w:divBdr>
          <w:divsChild>
            <w:div w:id="5266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39">
      <w:marLeft w:val="0"/>
      <w:marRight w:val="0"/>
      <w:marTop w:val="0"/>
      <w:marBottom w:val="0"/>
      <w:divBdr>
        <w:top w:val="none" w:sz="0" w:space="0" w:color="auto"/>
        <w:left w:val="none" w:sz="0" w:space="0" w:color="auto"/>
        <w:bottom w:val="none" w:sz="0" w:space="0" w:color="auto"/>
        <w:right w:val="none" w:sz="0" w:space="0" w:color="auto"/>
      </w:divBdr>
    </w:div>
    <w:div w:id="526672942">
      <w:marLeft w:val="0"/>
      <w:marRight w:val="0"/>
      <w:marTop w:val="0"/>
      <w:marBottom w:val="0"/>
      <w:divBdr>
        <w:top w:val="none" w:sz="0" w:space="0" w:color="auto"/>
        <w:left w:val="none" w:sz="0" w:space="0" w:color="auto"/>
        <w:bottom w:val="none" w:sz="0" w:space="0" w:color="auto"/>
        <w:right w:val="none" w:sz="0" w:space="0" w:color="auto"/>
      </w:divBdr>
      <w:divsChild>
        <w:div w:id="526672918">
          <w:marLeft w:val="0"/>
          <w:marRight w:val="0"/>
          <w:marTop w:val="0"/>
          <w:marBottom w:val="0"/>
          <w:divBdr>
            <w:top w:val="none" w:sz="0" w:space="0" w:color="auto"/>
            <w:left w:val="none" w:sz="0" w:space="0" w:color="auto"/>
            <w:bottom w:val="none" w:sz="0" w:space="0" w:color="auto"/>
            <w:right w:val="none" w:sz="0" w:space="0" w:color="auto"/>
          </w:divBdr>
          <w:divsChild>
            <w:div w:id="526672913">
              <w:marLeft w:val="0"/>
              <w:marRight w:val="0"/>
              <w:marTop w:val="0"/>
              <w:marBottom w:val="0"/>
              <w:divBdr>
                <w:top w:val="none" w:sz="0" w:space="0" w:color="auto"/>
                <w:left w:val="none" w:sz="0" w:space="0" w:color="auto"/>
                <w:bottom w:val="none" w:sz="0" w:space="0" w:color="auto"/>
                <w:right w:val="none" w:sz="0" w:space="0" w:color="auto"/>
              </w:divBdr>
            </w:div>
            <w:div w:id="526672914">
              <w:marLeft w:val="0"/>
              <w:marRight w:val="0"/>
              <w:marTop w:val="0"/>
              <w:marBottom w:val="0"/>
              <w:divBdr>
                <w:top w:val="none" w:sz="0" w:space="0" w:color="auto"/>
                <w:left w:val="none" w:sz="0" w:space="0" w:color="auto"/>
                <w:bottom w:val="none" w:sz="0" w:space="0" w:color="auto"/>
                <w:right w:val="none" w:sz="0" w:space="0" w:color="auto"/>
              </w:divBdr>
            </w:div>
            <w:div w:id="526672917">
              <w:marLeft w:val="0"/>
              <w:marRight w:val="0"/>
              <w:marTop w:val="0"/>
              <w:marBottom w:val="0"/>
              <w:divBdr>
                <w:top w:val="none" w:sz="0" w:space="0" w:color="auto"/>
                <w:left w:val="none" w:sz="0" w:space="0" w:color="auto"/>
                <w:bottom w:val="none" w:sz="0" w:space="0" w:color="auto"/>
                <w:right w:val="none" w:sz="0" w:space="0" w:color="auto"/>
              </w:divBdr>
            </w:div>
            <w:div w:id="526672919">
              <w:marLeft w:val="0"/>
              <w:marRight w:val="0"/>
              <w:marTop w:val="0"/>
              <w:marBottom w:val="0"/>
              <w:divBdr>
                <w:top w:val="none" w:sz="0" w:space="0" w:color="auto"/>
                <w:left w:val="none" w:sz="0" w:space="0" w:color="auto"/>
                <w:bottom w:val="none" w:sz="0" w:space="0" w:color="auto"/>
                <w:right w:val="none" w:sz="0" w:space="0" w:color="auto"/>
              </w:divBdr>
            </w:div>
            <w:div w:id="526672921">
              <w:marLeft w:val="0"/>
              <w:marRight w:val="0"/>
              <w:marTop w:val="0"/>
              <w:marBottom w:val="0"/>
              <w:divBdr>
                <w:top w:val="none" w:sz="0" w:space="0" w:color="auto"/>
                <w:left w:val="none" w:sz="0" w:space="0" w:color="auto"/>
                <w:bottom w:val="none" w:sz="0" w:space="0" w:color="auto"/>
                <w:right w:val="none" w:sz="0" w:space="0" w:color="auto"/>
              </w:divBdr>
            </w:div>
            <w:div w:id="526672922">
              <w:marLeft w:val="0"/>
              <w:marRight w:val="0"/>
              <w:marTop w:val="0"/>
              <w:marBottom w:val="0"/>
              <w:divBdr>
                <w:top w:val="none" w:sz="0" w:space="0" w:color="auto"/>
                <w:left w:val="none" w:sz="0" w:space="0" w:color="auto"/>
                <w:bottom w:val="none" w:sz="0" w:space="0" w:color="auto"/>
                <w:right w:val="none" w:sz="0" w:space="0" w:color="auto"/>
              </w:divBdr>
            </w:div>
            <w:div w:id="526672923">
              <w:marLeft w:val="0"/>
              <w:marRight w:val="0"/>
              <w:marTop w:val="0"/>
              <w:marBottom w:val="0"/>
              <w:divBdr>
                <w:top w:val="none" w:sz="0" w:space="0" w:color="auto"/>
                <w:left w:val="none" w:sz="0" w:space="0" w:color="auto"/>
                <w:bottom w:val="none" w:sz="0" w:space="0" w:color="auto"/>
                <w:right w:val="none" w:sz="0" w:space="0" w:color="auto"/>
              </w:divBdr>
            </w:div>
            <w:div w:id="526672924">
              <w:marLeft w:val="0"/>
              <w:marRight w:val="0"/>
              <w:marTop w:val="0"/>
              <w:marBottom w:val="0"/>
              <w:divBdr>
                <w:top w:val="none" w:sz="0" w:space="0" w:color="auto"/>
                <w:left w:val="none" w:sz="0" w:space="0" w:color="auto"/>
                <w:bottom w:val="none" w:sz="0" w:space="0" w:color="auto"/>
                <w:right w:val="none" w:sz="0" w:space="0" w:color="auto"/>
              </w:divBdr>
            </w:div>
            <w:div w:id="526672925">
              <w:marLeft w:val="0"/>
              <w:marRight w:val="0"/>
              <w:marTop w:val="0"/>
              <w:marBottom w:val="0"/>
              <w:divBdr>
                <w:top w:val="none" w:sz="0" w:space="0" w:color="auto"/>
                <w:left w:val="none" w:sz="0" w:space="0" w:color="auto"/>
                <w:bottom w:val="none" w:sz="0" w:space="0" w:color="auto"/>
                <w:right w:val="none" w:sz="0" w:space="0" w:color="auto"/>
              </w:divBdr>
            </w:div>
            <w:div w:id="526672926">
              <w:marLeft w:val="0"/>
              <w:marRight w:val="0"/>
              <w:marTop w:val="0"/>
              <w:marBottom w:val="0"/>
              <w:divBdr>
                <w:top w:val="none" w:sz="0" w:space="0" w:color="auto"/>
                <w:left w:val="none" w:sz="0" w:space="0" w:color="auto"/>
                <w:bottom w:val="none" w:sz="0" w:space="0" w:color="auto"/>
                <w:right w:val="none" w:sz="0" w:space="0" w:color="auto"/>
              </w:divBdr>
            </w:div>
            <w:div w:id="526672928">
              <w:marLeft w:val="0"/>
              <w:marRight w:val="0"/>
              <w:marTop w:val="0"/>
              <w:marBottom w:val="0"/>
              <w:divBdr>
                <w:top w:val="none" w:sz="0" w:space="0" w:color="auto"/>
                <w:left w:val="none" w:sz="0" w:space="0" w:color="auto"/>
                <w:bottom w:val="none" w:sz="0" w:space="0" w:color="auto"/>
                <w:right w:val="none" w:sz="0" w:space="0" w:color="auto"/>
              </w:divBdr>
            </w:div>
            <w:div w:id="526672929">
              <w:marLeft w:val="0"/>
              <w:marRight w:val="0"/>
              <w:marTop w:val="0"/>
              <w:marBottom w:val="0"/>
              <w:divBdr>
                <w:top w:val="none" w:sz="0" w:space="0" w:color="auto"/>
                <w:left w:val="none" w:sz="0" w:space="0" w:color="auto"/>
                <w:bottom w:val="none" w:sz="0" w:space="0" w:color="auto"/>
                <w:right w:val="none" w:sz="0" w:space="0" w:color="auto"/>
              </w:divBdr>
            </w:div>
            <w:div w:id="526672931">
              <w:marLeft w:val="0"/>
              <w:marRight w:val="0"/>
              <w:marTop w:val="0"/>
              <w:marBottom w:val="0"/>
              <w:divBdr>
                <w:top w:val="none" w:sz="0" w:space="0" w:color="auto"/>
                <w:left w:val="none" w:sz="0" w:space="0" w:color="auto"/>
                <w:bottom w:val="none" w:sz="0" w:space="0" w:color="auto"/>
                <w:right w:val="none" w:sz="0" w:space="0" w:color="auto"/>
              </w:divBdr>
            </w:div>
            <w:div w:id="526672932">
              <w:marLeft w:val="0"/>
              <w:marRight w:val="0"/>
              <w:marTop w:val="0"/>
              <w:marBottom w:val="0"/>
              <w:divBdr>
                <w:top w:val="none" w:sz="0" w:space="0" w:color="auto"/>
                <w:left w:val="none" w:sz="0" w:space="0" w:color="auto"/>
                <w:bottom w:val="none" w:sz="0" w:space="0" w:color="auto"/>
                <w:right w:val="none" w:sz="0" w:space="0" w:color="auto"/>
              </w:divBdr>
            </w:div>
            <w:div w:id="526672936">
              <w:marLeft w:val="0"/>
              <w:marRight w:val="0"/>
              <w:marTop w:val="0"/>
              <w:marBottom w:val="0"/>
              <w:divBdr>
                <w:top w:val="none" w:sz="0" w:space="0" w:color="auto"/>
                <w:left w:val="none" w:sz="0" w:space="0" w:color="auto"/>
                <w:bottom w:val="none" w:sz="0" w:space="0" w:color="auto"/>
                <w:right w:val="none" w:sz="0" w:space="0" w:color="auto"/>
              </w:divBdr>
            </w:div>
            <w:div w:id="526672937">
              <w:marLeft w:val="0"/>
              <w:marRight w:val="0"/>
              <w:marTop w:val="0"/>
              <w:marBottom w:val="0"/>
              <w:divBdr>
                <w:top w:val="none" w:sz="0" w:space="0" w:color="auto"/>
                <w:left w:val="none" w:sz="0" w:space="0" w:color="auto"/>
                <w:bottom w:val="none" w:sz="0" w:space="0" w:color="auto"/>
                <w:right w:val="none" w:sz="0" w:space="0" w:color="auto"/>
              </w:divBdr>
            </w:div>
            <w:div w:id="526672938">
              <w:marLeft w:val="0"/>
              <w:marRight w:val="0"/>
              <w:marTop w:val="0"/>
              <w:marBottom w:val="0"/>
              <w:divBdr>
                <w:top w:val="none" w:sz="0" w:space="0" w:color="auto"/>
                <w:left w:val="none" w:sz="0" w:space="0" w:color="auto"/>
                <w:bottom w:val="none" w:sz="0" w:space="0" w:color="auto"/>
                <w:right w:val="none" w:sz="0" w:space="0" w:color="auto"/>
              </w:divBdr>
            </w:div>
            <w:div w:id="526672940">
              <w:marLeft w:val="0"/>
              <w:marRight w:val="0"/>
              <w:marTop w:val="0"/>
              <w:marBottom w:val="0"/>
              <w:divBdr>
                <w:top w:val="none" w:sz="0" w:space="0" w:color="auto"/>
                <w:left w:val="none" w:sz="0" w:space="0" w:color="auto"/>
                <w:bottom w:val="none" w:sz="0" w:space="0" w:color="auto"/>
                <w:right w:val="none" w:sz="0" w:space="0" w:color="auto"/>
              </w:divBdr>
            </w:div>
            <w:div w:id="526672941">
              <w:marLeft w:val="0"/>
              <w:marRight w:val="0"/>
              <w:marTop w:val="0"/>
              <w:marBottom w:val="0"/>
              <w:divBdr>
                <w:top w:val="none" w:sz="0" w:space="0" w:color="auto"/>
                <w:left w:val="none" w:sz="0" w:space="0" w:color="auto"/>
                <w:bottom w:val="none" w:sz="0" w:space="0" w:color="auto"/>
                <w:right w:val="none" w:sz="0" w:space="0" w:color="auto"/>
              </w:divBdr>
            </w:div>
            <w:div w:id="526672945">
              <w:marLeft w:val="0"/>
              <w:marRight w:val="0"/>
              <w:marTop w:val="0"/>
              <w:marBottom w:val="0"/>
              <w:divBdr>
                <w:top w:val="none" w:sz="0" w:space="0" w:color="auto"/>
                <w:left w:val="none" w:sz="0" w:space="0" w:color="auto"/>
                <w:bottom w:val="none" w:sz="0" w:space="0" w:color="auto"/>
                <w:right w:val="none" w:sz="0" w:space="0" w:color="auto"/>
              </w:divBdr>
            </w:div>
            <w:div w:id="5266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49">
      <w:marLeft w:val="0"/>
      <w:marRight w:val="0"/>
      <w:marTop w:val="0"/>
      <w:marBottom w:val="0"/>
      <w:divBdr>
        <w:top w:val="none" w:sz="0" w:space="0" w:color="auto"/>
        <w:left w:val="none" w:sz="0" w:space="0" w:color="auto"/>
        <w:bottom w:val="none" w:sz="0" w:space="0" w:color="auto"/>
        <w:right w:val="none" w:sz="0" w:space="0" w:color="auto"/>
      </w:divBdr>
      <w:divsChild>
        <w:div w:id="526672960">
          <w:marLeft w:val="0"/>
          <w:marRight w:val="0"/>
          <w:marTop w:val="0"/>
          <w:marBottom w:val="0"/>
          <w:divBdr>
            <w:top w:val="none" w:sz="0" w:space="0" w:color="auto"/>
            <w:left w:val="none" w:sz="0" w:space="0" w:color="auto"/>
            <w:bottom w:val="none" w:sz="0" w:space="0" w:color="auto"/>
            <w:right w:val="none" w:sz="0" w:space="0" w:color="auto"/>
          </w:divBdr>
        </w:div>
      </w:divsChild>
    </w:div>
    <w:div w:id="526672951">
      <w:marLeft w:val="0"/>
      <w:marRight w:val="0"/>
      <w:marTop w:val="0"/>
      <w:marBottom w:val="0"/>
      <w:divBdr>
        <w:top w:val="none" w:sz="0" w:space="0" w:color="auto"/>
        <w:left w:val="none" w:sz="0" w:space="0" w:color="auto"/>
        <w:bottom w:val="none" w:sz="0" w:space="0" w:color="auto"/>
        <w:right w:val="none" w:sz="0" w:space="0" w:color="auto"/>
      </w:divBdr>
      <w:divsChild>
        <w:div w:id="526672963">
          <w:marLeft w:val="0"/>
          <w:marRight w:val="0"/>
          <w:marTop w:val="0"/>
          <w:marBottom w:val="0"/>
          <w:divBdr>
            <w:top w:val="none" w:sz="0" w:space="0" w:color="auto"/>
            <w:left w:val="none" w:sz="0" w:space="0" w:color="auto"/>
            <w:bottom w:val="none" w:sz="0" w:space="0" w:color="auto"/>
            <w:right w:val="none" w:sz="0" w:space="0" w:color="auto"/>
          </w:divBdr>
          <w:divsChild>
            <w:div w:id="526672953">
              <w:marLeft w:val="0"/>
              <w:marRight w:val="0"/>
              <w:marTop w:val="0"/>
              <w:marBottom w:val="0"/>
              <w:divBdr>
                <w:top w:val="none" w:sz="0" w:space="0" w:color="auto"/>
                <w:left w:val="none" w:sz="0" w:space="0" w:color="auto"/>
                <w:bottom w:val="none" w:sz="0" w:space="0" w:color="auto"/>
                <w:right w:val="none" w:sz="0" w:space="0" w:color="auto"/>
              </w:divBdr>
            </w:div>
            <w:div w:id="526672954">
              <w:marLeft w:val="0"/>
              <w:marRight w:val="0"/>
              <w:marTop w:val="0"/>
              <w:marBottom w:val="0"/>
              <w:divBdr>
                <w:top w:val="none" w:sz="0" w:space="0" w:color="auto"/>
                <w:left w:val="none" w:sz="0" w:space="0" w:color="auto"/>
                <w:bottom w:val="none" w:sz="0" w:space="0" w:color="auto"/>
                <w:right w:val="none" w:sz="0" w:space="0" w:color="auto"/>
              </w:divBdr>
            </w:div>
            <w:div w:id="5266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57">
      <w:marLeft w:val="0"/>
      <w:marRight w:val="0"/>
      <w:marTop w:val="0"/>
      <w:marBottom w:val="0"/>
      <w:divBdr>
        <w:top w:val="none" w:sz="0" w:space="0" w:color="auto"/>
        <w:left w:val="none" w:sz="0" w:space="0" w:color="auto"/>
        <w:bottom w:val="none" w:sz="0" w:space="0" w:color="auto"/>
        <w:right w:val="none" w:sz="0" w:space="0" w:color="auto"/>
      </w:divBdr>
    </w:div>
    <w:div w:id="526672961">
      <w:marLeft w:val="0"/>
      <w:marRight w:val="0"/>
      <w:marTop w:val="0"/>
      <w:marBottom w:val="0"/>
      <w:divBdr>
        <w:top w:val="none" w:sz="0" w:space="0" w:color="auto"/>
        <w:left w:val="none" w:sz="0" w:space="0" w:color="auto"/>
        <w:bottom w:val="none" w:sz="0" w:space="0" w:color="auto"/>
        <w:right w:val="none" w:sz="0" w:space="0" w:color="auto"/>
      </w:divBdr>
      <w:divsChild>
        <w:div w:id="526672959">
          <w:marLeft w:val="0"/>
          <w:marRight w:val="0"/>
          <w:marTop w:val="0"/>
          <w:marBottom w:val="0"/>
          <w:divBdr>
            <w:top w:val="none" w:sz="0" w:space="0" w:color="auto"/>
            <w:left w:val="none" w:sz="0" w:space="0" w:color="auto"/>
            <w:bottom w:val="none" w:sz="0" w:space="0" w:color="auto"/>
            <w:right w:val="none" w:sz="0" w:space="0" w:color="auto"/>
          </w:divBdr>
          <w:divsChild>
            <w:div w:id="526672948">
              <w:marLeft w:val="0"/>
              <w:marRight w:val="0"/>
              <w:marTop w:val="0"/>
              <w:marBottom w:val="0"/>
              <w:divBdr>
                <w:top w:val="none" w:sz="0" w:space="0" w:color="auto"/>
                <w:left w:val="none" w:sz="0" w:space="0" w:color="auto"/>
                <w:bottom w:val="none" w:sz="0" w:space="0" w:color="auto"/>
                <w:right w:val="none" w:sz="0" w:space="0" w:color="auto"/>
              </w:divBdr>
            </w:div>
            <w:div w:id="526672950">
              <w:marLeft w:val="0"/>
              <w:marRight w:val="0"/>
              <w:marTop w:val="0"/>
              <w:marBottom w:val="0"/>
              <w:divBdr>
                <w:top w:val="none" w:sz="0" w:space="0" w:color="auto"/>
                <w:left w:val="none" w:sz="0" w:space="0" w:color="auto"/>
                <w:bottom w:val="none" w:sz="0" w:space="0" w:color="auto"/>
                <w:right w:val="none" w:sz="0" w:space="0" w:color="auto"/>
              </w:divBdr>
            </w:div>
            <w:div w:id="526672952">
              <w:marLeft w:val="0"/>
              <w:marRight w:val="0"/>
              <w:marTop w:val="0"/>
              <w:marBottom w:val="0"/>
              <w:divBdr>
                <w:top w:val="none" w:sz="0" w:space="0" w:color="auto"/>
                <w:left w:val="none" w:sz="0" w:space="0" w:color="auto"/>
                <w:bottom w:val="none" w:sz="0" w:space="0" w:color="auto"/>
                <w:right w:val="none" w:sz="0" w:space="0" w:color="auto"/>
              </w:divBdr>
            </w:div>
            <w:div w:id="526672956">
              <w:marLeft w:val="0"/>
              <w:marRight w:val="0"/>
              <w:marTop w:val="0"/>
              <w:marBottom w:val="0"/>
              <w:divBdr>
                <w:top w:val="none" w:sz="0" w:space="0" w:color="auto"/>
                <w:left w:val="none" w:sz="0" w:space="0" w:color="auto"/>
                <w:bottom w:val="none" w:sz="0" w:space="0" w:color="auto"/>
                <w:right w:val="none" w:sz="0" w:space="0" w:color="auto"/>
              </w:divBdr>
            </w:div>
            <w:div w:id="526672958">
              <w:marLeft w:val="0"/>
              <w:marRight w:val="0"/>
              <w:marTop w:val="0"/>
              <w:marBottom w:val="0"/>
              <w:divBdr>
                <w:top w:val="none" w:sz="0" w:space="0" w:color="auto"/>
                <w:left w:val="none" w:sz="0" w:space="0" w:color="auto"/>
                <w:bottom w:val="none" w:sz="0" w:space="0" w:color="auto"/>
                <w:right w:val="none" w:sz="0" w:space="0" w:color="auto"/>
              </w:divBdr>
            </w:div>
            <w:div w:id="5266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68">
      <w:marLeft w:val="0"/>
      <w:marRight w:val="0"/>
      <w:marTop w:val="0"/>
      <w:marBottom w:val="0"/>
      <w:divBdr>
        <w:top w:val="none" w:sz="0" w:space="0" w:color="auto"/>
        <w:left w:val="none" w:sz="0" w:space="0" w:color="auto"/>
        <w:bottom w:val="none" w:sz="0" w:space="0" w:color="auto"/>
        <w:right w:val="none" w:sz="0" w:space="0" w:color="auto"/>
      </w:divBdr>
      <w:divsChild>
        <w:div w:id="526672971">
          <w:marLeft w:val="0"/>
          <w:marRight w:val="0"/>
          <w:marTop w:val="0"/>
          <w:marBottom w:val="0"/>
          <w:divBdr>
            <w:top w:val="none" w:sz="0" w:space="0" w:color="auto"/>
            <w:left w:val="none" w:sz="0" w:space="0" w:color="auto"/>
            <w:bottom w:val="none" w:sz="0" w:space="0" w:color="auto"/>
            <w:right w:val="none" w:sz="0" w:space="0" w:color="auto"/>
          </w:divBdr>
          <w:divsChild>
            <w:div w:id="526672966">
              <w:marLeft w:val="0"/>
              <w:marRight w:val="0"/>
              <w:marTop w:val="0"/>
              <w:marBottom w:val="0"/>
              <w:divBdr>
                <w:top w:val="none" w:sz="0" w:space="0" w:color="auto"/>
                <w:left w:val="none" w:sz="0" w:space="0" w:color="auto"/>
                <w:bottom w:val="none" w:sz="0" w:space="0" w:color="auto"/>
                <w:right w:val="none" w:sz="0" w:space="0" w:color="auto"/>
              </w:divBdr>
              <w:divsChild>
                <w:div w:id="526672964">
                  <w:marLeft w:val="0"/>
                  <w:marRight w:val="0"/>
                  <w:marTop w:val="0"/>
                  <w:marBottom w:val="0"/>
                  <w:divBdr>
                    <w:top w:val="none" w:sz="0" w:space="0" w:color="auto"/>
                    <w:left w:val="none" w:sz="0" w:space="0" w:color="auto"/>
                    <w:bottom w:val="none" w:sz="0" w:space="0" w:color="auto"/>
                    <w:right w:val="none" w:sz="0" w:space="0" w:color="auto"/>
                  </w:divBdr>
                </w:div>
                <w:div w:id="526672965">
                  <w:marLeft w:val="0"/>
                  <w:marRight w:val="0"/>
                  <w:marTop w:val="0"/>
                  <w:marBottom w:val="0"/>
                  <w:divBdr>
                    <w:top w:val="none" w:sz="0" w:space="0" w:color="auto"/>
                    <w:left w:val="none" w:sz="0" w:space="0" w:color="auto"/>
                    <w:bottom w:val="none" w:sz="0" w:space="0" w:color="auto"/>
                    <w:right w:val="none" w:sz="0" w:space="0" w:color="auto"/>
                  </w:divBdr>
                  <w:divsChild>
                    <w:div w:id="526672970">
                      <w:marLeft w:val="0"/>
                      <w:marRight w:val="0"/>
                      <w:marTop w:val="0"/>
                      <w:marBottom w:val="0"/>
                      <w:divBdr>
                        <w:top w:val="none" w:sz="0" w:space="0" w:color="auto"/>
                        <w:left w:val="none" w:sz="0" w:space="0" w:color="auto"/>
                        <w:bottom w:val="none" w:sz="0" w:space="0" w:color="auto"/>
                        <w:right w:val="none" w:sz="0" w:space="0" w:color="auto"/>
                      </w:divBdr>
                    </w:div>
                  </w:divsChild>
                </w:div>
                <w:div w:id="5266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74">
          <w:marLeft w:val="0"/>
          <w:marRight w:val="0"/>
          <w:marTop w:val="0"/>
          <w:marBottom w:val="0"/>
          <w:divBdr>
            <w:top w:val="none" w:sz="0" w:space="0" w:color="auto"/>
            <w:left w:val="none" w:sz="0" w:space="0" w:color="auto"/>
            <w:bottom w:val="none" w:sz="0" w:space="0" w:color="auto"/>
            <w:right w:val="none" w:sz="0" w:space="0" w:color="auto"/>
          </w:divBdr>
          <w:divsChild>
            <w:div w:id="526672975">
              <w:marLeft w:val="0"/>
              <w:marRight w:val="0"/>
              <w:marTop w:val="0"/>
              <w:marBottom w:val="0"/>
              <w:divBdr>
                <w:top w:val="none" w:sz="0" w:space="0" w:color="auto"/>
                <w:left w:val="none" w:sz="0" w:space="0" w:color="auto"/>
                <w:bottom w:val="none" w:sz="0" w:space="0" w:color="auto"/>
                <w:right w:val="none" w:sz="0" w:space="0" w:color="auto"/>
              </w:divBdr>
              <w:divsChild>
                <w:div w:id="526672978">
                  <w:marLeft w:val="0"/>
                  <w:marRight w:val="0"/>
                  <w:marTop w:val="0"/>
                  <w:marBottom w:val="0"/>
                  <w:divBdr>
                    <w:top w:val="none" w:sz="0" w:space="0" w:color="auto"/>
                    <w:left w:val="none" w:sz="0" w:space="0" w:color="auto"/>
                    <w:bottom w:val="none" w:sz="0" w:space="0" w:color="auto"/>
                    <w:right w:val="none" w:sz="0" w:space="0" w:color="auto"/>
                  </w:divBdr>
                </w:div>
                <w:div w:id="5266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2979">
      <w:marLeft w:val="0"/>
      <w:marRight w:val="0"/>
      <w:marTop w:val="0"/>
      <w:marBottom w:val="0"/>
      <w:divBdr>
        <w:top w:val="none" w:sz="0" w:space="0" w:color="auto"/>
        <w:left w:val="none" w:sz="0" w:space="0" w:color="auto"/>
        <w:bottom w:val="none" w:sz="0" w:space="0" w:color="auto"/>
        <w:right w:val="none" w:sz="0" w:space="0" w:color="auto"/>
      </w:divBdr>
      <w:divsChild>
        <w:div w:id="526672969">
          <w:marLeft w:val="0"/>
          <w:marRight w:val="0"/>
          <w:marTop w:val="0"/>
          <w:marBottom w:val="0"/>
          <w:divBdr>
            <w:top w:val="none" w:sz="0" w:space="0" w:color="auto"/>
            <w:left w:val="none" w:sz="0" w:space="0" w:color="auto"/>
            <w:bottom w:val="none" w:sz="0" w:space="0" w:color="auto"/>
            <w:right w:val="none" w:sz="0" w:space="0" w:color="auto"/>
          </w:divBdr>
          <w:divsChild>
            <w:div w:id="526672985">
              <w:marLeft w:val="0"/>
              <w:marRight w:val="0"/>
              <w:marTop w:val="0"/>
              <w:marBottom w:val="0"/>
              <w:divBdr>
                <w:top w:val="none" w:sz="0" w:space="0" w:color="auto"/>
                <w:left w:val="none" w:sz="0" w:space="0" w:color="auto"/>
                <w:bottom w:val="none" w:sz="0" w:space="0" w:color="auto"/>
                <w:right w:val="none" w:sz="0" w:space="0" w:color="auto"/>
              </w:divBdr>
              <w:divsChild>
                <w:div w:id="526672977">
                  <w:marLeft w:val="0"/>
                  <w:marRight w:val="0"/>
                  <w:marTop w:val="0"/>
                  <w:marBottom w:val="0"/>
                  <w:divBdr>
                    <w:top w:val="none" w:sz="0" w:space="0" w:color="auto"/>
                    <w:left w:val="none" w:sz="0" w:space="0" w:color="auto"/>
                    <w:bottom w:val="none" w:sz="0" w:space="0" w:color="auto"/>
                    <w:right w:val="none" w:sz="0" w:space="0" w:color="auto"/>
                  </w:divBdr>
                </w:div>
                <w:div w:id="526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72">
          <w:marLeft w:val="0"/>
          <w:marRight w:val="0"/>
          <w:marTop w:val="0"/>
          <w:marBottom w:val="0"/>
          <w:divBdr>
            <w:top w:val="none" w:sz="0" w:space="0" w:color="auto"/>
            <w:left w:val="none" w:sz="0" w:space="0" w:color="auto"/>
            <w:bottom w:val="none" w:sz="0" w:space="0" w:color="auto"/>
            <w:right w:val="none" w:sz="0" w:space="0" w:color="auto"/>
          </w:divBdr>
          <w:divsChild>
            <w:div w:id="526672973">
              <w:marLeft w:val="0"/>
              <w:marRight w:val="0"/>
              <w:marTop w:val="0"/>
              <w:marBottom w:val="0"/>
              <w:divBdr>
                <w:top w:val="none" w:sz="0" w:space="0" w:color="auto"/>
                <w:left w:val="none" w:sz="0" w:space="0" w:color="auto"/>
                <w:bottom w:val="none" w:sz="0" w:space="0" w:color="auto"/>
                <w:right w:val="none" w:sz="0" w:space="0" w:color="auto"/>
              </w:divBdr>
              <w:divsChild>
                <w:div w:id="526672976">
                  <w:marLeft w:val="0"/>
                  <w:marRight w:val="0"/>
                  <w:marTop w:val="0"/>
                  <w:marBottom w:val="0"/>
                  <w:divBdr>
                    <w:top w:val="none" w:sz="0" w:space="0" w:color="auto"/>
                    <w:left w:val="none" w:sz="0" w:space="0" w:color="auto"/>
                    <w:bottom w:val="none" w:sz="0" w:space="0" w:color="auto"/>
                    <w:right w:val="none" w:sz="0" w:space="0" w:color="auto"/>
                  </w:divBdr>
                  <w:divsChild>
                    <w:div w:id="5266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72983">
      <w:marLeft w:val="0"/>
      <w:marRight w:val="0"/>
      <w:marTop w:val="0"/>
      <w:marBottom w:val="0"/>
      <w:divBdr>
        <w:top w:val="none" w:sz="0" w:space="0" w:color="auto"/>
        <w:left w:val="none" w:sz="0" w:space="0" w:color="auto"/>
        <w:bottom w:val="none" w:sz="0" w:space="0" w:color="auto"/>
        <w:right w:val="none" w:sz="0" w:space="0" w:color="auto"/>
      </w:divBdr>
    </w:div>
    <w:div w:id="526672984">
      <w:marLeft w:val="0"/>
      <w:marRight w:val="0"/>
      <w:marTop w:val="0"/>
      <w:marBottom w:val="0"/>
      <w:divBdr>
        <w:top w:val="none" w:sz="0" w:space="0" w:color="auto"/>
        <w:left w:val="none" w:sz="0" w:space="0" w:color="auto"/>
        <w:bottom w:val="none" w:sz="0" w:space="0" w:color="auto"/>
        <w:right w:val="none" w:sz="0" w:space="0" w:color="auto"/>
      </w:divBdr>
    </w:div>
    <w:div w:id="526672986">
      <w:marLeft w:val="0"/>
      <w:marRight w:val="0"/>
      <w:marTop w:val="0"/>
      <w:marBottom w:val="0"/>
      <w:divBdr>
        <w:top w:val="none" w:sz="0" w:space="0" w:color="auto"/>
        <w:left w:val="none" w:sz="0" w:space="0" w:color="auto"/>
        <w:bottom w:val="none" w:sz="0" w:space="0" w:color="auto"/>
        <w:right w:val="none" w:sz="0" w:space="0" w:color="auto"/>
      </w:divBdr>
    </w:div>
    <w:div w:id="526672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nefrologiadigital.revistanefrologia.com/modules.php?name=libro&amp;op=viewCap&amp;idpublication=1&amp;idedition=13&amp;idcapitulo=109"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bi.nlm.nih.gov/pubmed?term=%22Johnson%20JA%22%5BAuthor%5D" TargetMode="External"/><Relationship Id="rId2" Type="http://schemas.openxmlformats.org/officeDocument/2006/relationships/hyperlink" Target="http://www.ncbi.nlm.nih.gov/pubmed?term=%22Tonelli%20M%22%5BAuthor%5D" TargetMode="External"/><Relationship Id="rId1" Type="http://schemas.openxmlformats.org/officeDocument/2006/relationships/hyperlink" Target="http://www.ncbi.nlm.nih.gov/pubmed?term=%22Klarenbach%20S%22%5BAuthor%5D" TargetMode="External"/><Relationship Id="rId4" Type="http://schemas.openxmlformats.org/officeDocument/2006/relationships/hyperlink" Target="http://www.ncbi.nlm.nih.gov/pubmed?term=%22Manns%20BJ%22%5BAuthor%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8A2D-3A2D-4600-B5E4-D5922E76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49</Pages>
  <Words>21163</Words>
  <Characters>116400</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Documento de Consenso ERC</vt:lpstr>
    </vt:vector>
  </TitlesOfParts>
  <Company>Hewlett-Packard</Company>
  <LinksUpToDate>false</LinksUpToDate>
  <CharactersWithSpaces>137289</CharactersWithSpaces>
  <SharedDoc>false</SharedDoc>
  <HLinks>
    <vt:vector size="174" baseType="variant">
      <vt:variant>
        <vt:i4>2031680</vt:i4>
      </vt:variant>
      <vt:variant>
        <vt:i4>228</vt:i4>
      </vt:variant>
      <vt:variant>
        <vt:i4>0</vt:i4>
      </vt:variant>
      <vt:variant>
        <vt:i4>5</vt:i4>
      </vt:variant>
      <vt:variant>
        <vt:lpwstr>http://nefrologiadigital.revistanefrologia.com/modules.php?name=libro&amp;op=viewCap&amp;idpublication=1&amp;idedition=13&amp;idcapitulo=109</vt:lpwstr>
      </vt:variant>
      <vt:variant>
        <vt:lpwstr/>
      </vt:variant>
      <vt:variant>
        <vt:i4>1376309</vt:i4>
      </vt:variant>
      <vt:variant>
        <vt:i4>140</vt:i4>
      </vt:variant>
      <vt:variant>
        <vt:i4>0</vt:i4>
      </vt:variant>
      <vt:variant>
        <vt:i4>5</vt:i4>
      </vt:variant>
      <vt:variant>
        <vt:lpwstr/>
      </vt:variant>
      <vt:variant>
        <vt:lpwstr>_Toc341725540</vt:lpwstr>
      </vt:variant>
      <vt:variant>
        <vt:i4>1179701</vt:i4>
      </vt:variant>
      <vt:variant>
        <vt:i4>134</vt:i4>
      </vt:variant>
      <vt:variant>
        <vt:i4>0</vt:i4>
      </vt:variant>
      <vt:variant>
        <vt:i4>5</vt:i4>
      </vt:variant>
      <vt:variant>
        <vt:lpwstr/>
      </vt:variant>
      <vt:variant>
        <vt:lpwstr>_Toc341725539</vt:lpwstr>
      </vt:variant>
      <vt:variant>
        <vt:i4>1179701</vt:i4>
      </vt:variant>
      <vt:variant>
        <vt:i4>128</vt:i4>
      </vt:variant>
      <vt:variant>
        <vt:i4>0</vt:i4>
      </vt:variant>
      <vt:variant>
        <vt:i4>5</vt:i4>
      </vt:variant>
      <vt:variant>
        <vt:lpwstr/>
      </vt:variant>
      <vt:variant>
        <vt:lpwstr>_Toc341725538</vt:lpwstr>
      </vt:variant>
      <vt:variant>
        <vt:i4>1179701</vt:i4>
      </vt:variant>
      <vt:variant>
        <vt:i4>122</vt:i4>
      </vt:variant>
      <vt:variant>
        <vt:i4>0</vt:i4>
      </vt:variant>
      <vt:variant>
        <vt:i4>5</vt:i4>
      </vt:variant>
      <vt:variant>
        <vt:lpwstr/>
      </vt:variant>
      <vt:variant>
        <vt:lpwstr>_Toc341725537</vt:lpwstr>
      </vt:variant>
      <vt:variant>
        <vt:i4>1179701</vt:i4>
      </vt:variant>
      <vt:variant>
        <vt:i4>116</vt:i4>
      </vt:variant>
      <vt:variant>
        <vt:i4>0</vt:i4>
      </vt:variant>
      <vt:variant>
        <vt:i4>5</vt:i4>
      </vt:variant>
      <vt:variant>
        <vt:lpwstr/>
      </vt:variant>
      <vt:variant>
        <vt:lpwstr>_Toc341725536</vt:lpwstr>
      </vt:variant>
      <vt:variant>
        <vt:i4>1179701</vt:i4>
      </vt:variant>
      <vt:variant>
        <vt:i4>110</vt:i4>
      </vt:variant>
      <vt:variant>
        <vt:i4>0</vt:i4>
      </vt:variant>
      <vt:variant>
        <vt:i4>5</vt:i4>
      </vt:variant>
      <vt:variant>
        <vt:lpwstr/>
      </vt:variant>
      <vt:variant>
        <vt:lpwstr>_Toc341725535</vt:lpwstr>
      </vt:variant>
      <vt:variant>
        <vt:i4>1179701</vt:i4>
      </vt:variant>
      <vt:variant>
        <vt:i4>104</vt:i4>
      </vt:variant>
      <vt:variant>
        <vt:i4>0</vt:i4>
      </vt:variant>
      <vt:variant>
        <vt:i4>5</vt:i4>
      </vt:variant>
      <vt:variant>
        <vt:lpwstr/>
      </vt:variant>
      <vt:variant>
        <vt:lpwstr>_Toc341725534</vt:lpwstr>
      </vt:variant>
      <vt:variant>
        <vt:i4>1179701</vt:i4>
      </vt:variant>
      <vt:variant>
        <vt:i4>98</vt:i4>
      </vt:variant>
      <vt:variant>
        <vt:i4>0</vt:i4>
      </vt:variant>
      <vt:variant>
        <vt:i4>5</vt:i4>
      </vt:variant>
      <vt:variant>
        <vt:lpwstr/>
      </vt:variant>
      <vt:variant>
        <vt:lpwstr>_Toc341725533</vt:lpwstr>
      </vt:variant>
      <vt:variant>
        <vt:i4>1179701</vt:i4>
      </vt:variant>
      <vt:variant>
        <vt:i4>92</vt:i4>
      </vt:variant>
      <vt:variant>
        <vt:i4>0</vt:i4>
      </vt:variant>
      <vt:variant>
        <vt:i4>5</vt:i4>
      </vt:variant>
      <vt:variant>
        <vt:lpwstr/>
      </vt:variant>
      <vt:variant>
        <vt:lpwstr>_Toc341725532</vt:lpwstr>
      </vt:variant>
      <vt:variant>
        <vt:i4>1179701</vt:i4>
      </vt:variant>
      <vt:variant>
        <vt:i4>86</vt:i4>
      </vt:variant>
      <vt:variant>
        <vt:i4>0</vt:i4>
      </vt:variant>
      <vt:variant>
        <vt:i4>5</vt:i4>
      </vt:variant>
      <vt:variant>
        <vt:lpwstr/>
      </vt:variant>
      <vt:variant>
        <vt:lpwstr>_Toc341725531</vt:lpwstr>
      </vt:variant>
      <vt:variant>
        <vt:i4>1179701</vt:i4>
      </vt:variant>
      <vt:variant>
        <vt:i4>80</vt:i4>
      </vt:variant>
      <vt:variant>
        <vt:i4>0</vt:i4>
      </vt:variant>
      <vt:variant>
        <vt:i4>5</vt:i4>
      </vt:variant>
      <vt:variant>
        <vt:lpwstr/>
      </vt:variant>
      <vt:variant>
        <vt:lpwstr>_Toc341725530</vt:lpwstr>
      </vt:variant>
      <vt:variant>
        <vt:i4>1245237</vt:i4>
      </vt:variant>
      <vt:variant>
        <vt:i4>74</vt:i4>
      </vt:variant>
      <vt:variant>
        <vt:i4>0</vt:i4>
      </vt:variant>
      <vt:variant>
        <vt:i4>5</vt:i4>
      </vt:variant>
      <vt:variant>
        <vt:lpwstr/>
      </vt:variant>
      <vt:variant>
        <vt:lpwstr>_Toc341725529</vt:lpwstr>
      </vt:variant>
      <vt:variant>
        <vt:i4>1245237</vt:i4>
      </vt:variant>
      <vt:variant>
        <vt:i4>68</vt:i4>
      </vt:variant>
      <vt:variant>
        <vt:i4>0</vt:i4>
      </vt:variant>
      <vt:variant>
        <vt:i4>5</vt:i4>
      </vt:variant>
      <vt:variant>
        <vt:lpwstr/>
      </vt:variant>
      <vt:variant>
        <vt:lpwstr>_Toc341725528</vt:lpwstr>
      </vt:variant>
      <vt:variant>
        <vt:i4>1245237</vt:i4>
      </vt:variant>
      <vt:variant>
        <vt:i4>62</vt:i4>
      </vt:variant>
      <vt:variant>
        <vt:i4>0</vt:i4>
      </vt:variant>
      <vt:variant>
        <vt:i4>5</vt:i4>
      </vt:variant>
      <vt:variant>
        <vt:lpwstr/>
      </vt:variant>
      <vt:variant>
        <vt:lpwstr>_Toc341725527</vt:lpwstr>
      </vt:variant>
      <vt:variant>
        <vt:i4>1245237</vt:i4>
      </vt:variant>
      <vt:variant>
        <vt:i4>56</vt:i4>
      </vt:variant>
      <vt:variant>
        <vt:i4>0</vt:i4>
      </vt:variant>
      <vt:variant>
        <vt:i4>5</vt:i4>
      </vt:variant>
      <vt:variant>
        <vt:lpwstr/>
      </vt:variant>
      <vt:variant>
        <vt:lpwstr>_Toc341725526</vt:lpwstr>
      </vt:variant>
      <vt:variant>
        <vt:i4>1245237</vt:i4>
      </vt:variant>
      <vt:variant>
        <vt:i4>50</vt:i4>
      </vt:variant>
      <vt:variant>
        <vt:i4>0</vt:i4>
      </vt:variant>
      <vt:variant>
        <vt:i4>5</vt:i4>
      </vt:variant>
      <vt:variant>
        <vt:lpwstr/>
      </vt:variant>
      <vt:variant>
        <vt:lpwstr>_Toc341725525</vt:lpwstr>
      </vt:variant>
      <vt:variant>
        <vt:i4>1245237</vt:i4>
      </vt:variant>
      <vt:variant>
        <vt:i4>44</vt:i4>
      </vt:variant>
      <vt:variant>
        <vt:i4>0</vt:i4>
      </vt:variant>
      <vt:variant>
        <vt:i4>5</vt:i4>
      </vt:variant>
      <vt:variant>
        <vt:lpwstr/>
      </vt:variant>
      <vt:variant>
        <vt:lpwstr>_Toc341725524</vt:lpwstr>
      </vt:variant>
      <vt:variant>
        <vt:i4>1245237</vt:i4>
      </vt:variant>
      <vt:variant>
        <vt:i4>38</vt:i4>
      </vt:variant>
      <vt:variant>
        <vt:i4>0</vt:i4>
      </vt:variant>
      <vt:variant>
        <vt:i4>5</vt:i4>
      </vt:variant>
      <vt:variant>
        <vt:lpwstr/>
      </vt:variant>
      <vt:variant>
        <vt:lpwstr>_Toc341725523</vt:lpwstr>
      </vt:variant>
      <vt:variant>
        <vt:i4>1245237</vt:i4>
      </vt:variant>
      <vt:variant>
        <vt:i4>32</vt:i4>
      </vt:variant>
      <vt:variant>
        <vt:i4>0</vt:i4>
      </vt:variant>
      <vt:variant>
        <vt:i4>5</vt:i4>
      </vt:variant>
      <vt:variant>
        <vt:lpwstr/>
      </vt:variant>
      <vt:variant>
        <vt:lpwstr>_Toc341725522</vt:lpwstr>
      </vt:variant>
      <vt:variant>
        <vt:i4>1245237</vt:i4>
      </vt:variant>
      <vt:variant>
        <vt:i4>26</vt:i4>
      </vt:variant>
      <vt:variant>
        <vt:i4>0</vt:i4>
      </vt:variant>
      <vt:variant>
        <vt:i4>5</vt:i4>
      </vt:variant>
      <vt:variant>
        <vt:lpwstr/>
      </vt:variant>
      <vt:variant>
        <vt:lpwstr>_Toc341725521</vt:lpwstr>
      </vt:variant>
      <vt:variant>
        <vt:i4>1245237</vt:i4>
      </vt:variant>
      <vt:variant>
        <vt:i4>20</vt:i4>
      </vt:variant>
      <vt:variant>
        <vt:i4>0</vt:i4>
      </vt:variant>
      <vt:variant>
        <vt:i4>5</vt:i4>
      </vt:variant>
      <vt:variant>
        <vt:lpwstr/>
      </vt:variant>
      <vt:variant>
        <vt:lpwstr>_Toc341725520</vt:lpwstr>
      </vt:variant>
      <vt:variant>
        <vt:i4>1048629</vt:i4>
      </vt:variant>
      <vt:variant>
        <vt:i4>14</vt:i4>
      </vt:variant>
      <vt:variant>
        <vt:i4>0</vt:i4>
      </vt:variant>
      <vt:variant>
        <vt:i4>5</vt:i4>
      </vt:variant>
      <vt:variant>
        <vt:lpwstr/>
      </vt:variant>
      <vt:variant>
        <vt:lpwstr>_Toc341725519</vt:lpwstr>
      </vt:variant>
      <vt:variant>
        <vt:i4>1048629</vt:i4>
      </vt:variant>
      <vt:variant>
        <vt:i4>8</vt:i4>
      </vt:variant>
      <vt:variant>
        <vt:i4>0</vt:i4>
      </vt:variant>
      <vt:variant>
        <vt:i4>5</vt:i4>
      </vt:variant>
      <vt:variant>
        <vt:lpwstr/>
      </vt:variant>
      <vt:variant>
        <vt:lpwstr>_Toc341725518</vt:lpwstr>
      </vt:variant>
      <vt:variant>
        <vt:i4>1048629</vt:i4>
      </vt:variant>
      <vt:variant>
        <vt:i4>2</vt:i4>
      </vt:variant>
      <vt:variant>
        <vt:i4>0</vt:i4>
      </vt:variant>
      <vt:variant>
        <vt:i4>5</vt:i4>
      </vt:variant>
      <vt:variant>
        <vt:lpwstr/>
      </vt:variant>
      <vt:variant>
        <vt:lpwstr>_Toc341725517</vt:lpwstr>
      </vt:variant>
      <vt:variant>
        <vt:i4>70</vt:i4>
      </vt:variant>
      <vt:variant>
        <vt:i4>9</vt:i4>
      </vt:variant>
      <vt:variant>
        <vt:i4>0</vt:i4>
      </vt:variant>
      <vt:variant>
        <vt:i4>5</vt:i4>
      </vt:variant>
      <vt:variant>
        <vt:lpwstr>http://www.ncbi.nlm.nih.gov/pubmed?term=%22Manns%20BJ%22%5BAuthor%5D</vt:lpwstr>
      </vt:variant>
      <vt:variant>
        <vt:lpwstr/>
      </vt:variant>
      <vt:variant>
        <vt:i4>6750252</vt:i4>
      </vt:variant>
      <vt:variant>
        <vt:i4>6</vt:i4>
      </vt:variant>
      <vt:variant>
        <vt:i4>0</vt:i4>
      </vt:variant>
      <vt:variant>
        <vt:i4>5</vt:i4>
      </vt:variant>
      <vt:variant>
        <vt:lpwstr>http://www.ncbi.nlm.nih.gov/pubmed?term=%22Johnson%20JA%22%5BAuthor%5D</vt:lpwstr>
      </vt:variant>
      <vt:variant>
        <vt:lpwstr/>
      </vt:variant>
      <vt:variant>
        <vt:i4>5636119</vt:i4>
      </vt:variant>
      <vt:variant>
        <vt:i4>3</vt:i4>
      </vt:variant>
      <vt:variant>
        <vt:i4>0</vt:i4>
      </vt:variant>
      <vt:variant>
        <vt:i4>5</vt:i4>
      </vt:variant>
      <vt:variant>
        <vt:lpwstr>http://www.ncbi.nlm.nih.gov/pubmed?term=%22Tonelli%20M%22%5BAuthor%5D</vt:lpwstr>
      </vt:variant>
      <vt:variant>
        <vt:lpwstr/>
      </vt:variant>
      <vt:variant>
        <vt:i4>5963790</vt:i4>
      </vt:variant>
      <vt:variant>
        <vt:i4>0</vt:i4>
      </vt:variant>
      <vt:variant>
        <vt:i4>0</vt:i4>
      </vt:variant>
      <vt:variant>
        <vt:i4>5</vt:i4>
      </vt:variant>
      <vt:variant>
        <vt:lpwstr>http://www.ncbi.nlm.nih.gov/pubmed?term=%22Klarenbach%20S%22%5BAuthor%5D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Consenso ERC</dc:title>
  <dc:creator>Sociedades Científicas</dc:creator>
  <cp:lastModifiedBy>envision</cp:lastModifiedBy>
  <cp:revision>11</cp:revision>
  <cp:lastPrinted>2013-03-06T16:58:00Z</cp:lastPrinted>
  <dcterms:created xsi:type="dcterms:W3CDTF">2012-12-17T19:28:00Z</dcterms:created>
  <dcterms:modified xsi:type="dcterms:W3CDTF">2013-03-06T16:59:00Z</dcterms:modified>
</cp:coreProperties>
</file>